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hint="eastAsia" w:ascii="宋体" w:hAnsi="宋体" w:eastAsia="宋体" w:cs="方正小标宋简体"/>
          <w:b/>
          <w:sz w:val="48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方正小标宋简体"/>
          <w:b/>
          <w:sz w:val="48"/>
          <w:szCs w:val="44"/>
          <w:highlight w:val="none"/>
          <w:lang w:val="en-US" w:eastAsia="zh-CN"/>
        </w:rPr>
        <w:t>鹿邑县司法局</w:t>
      </w:r>
    </w:p>
    <w:p>
      <w:pPr>
        <w:spacing w:line="592" w:lineRule="exact"/>
        <w:jc w:val="center"/>
        <w:rPr>
          <w:rFonts w:ascii="宋体" w:hAnsi="宋体" w:eastAsia="宋体" w:cs="方正小标宋简体"/>
          <w:b/>
          <w:sz w:val="48"/>
          <w:szCs w:val="44"/>
          <w:highlight w:val="none"/>
        </w:rPr>
      </w:pPr>
      <w:r>
        <w:rPr>
          <w:rFonts w:hint="eastAsia" w:ascii="宋体" w:hAnsi="宋体" w:eastAsia="宋体" w:cs="方正小标宋简体"/>
          <w:b/>
          <w:sz w:val="48"/>
          <w:szCs w:val="44"/>
          <w:highlight w:val="none"/>
        </w:rPr>
        <w:t>2022年部门预算说明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cs="方正小标宋简体" w:asciiTheme="minorEastAsia" w:hAnsiTheme="minorEastAsia"/>
          <w:b/>
          <w:sz w:val="40"/>
          <w:szCs w:val="44"/>
          <w:highlight w:val="none"/>
        </w:rPr>
      </w:pPr>
      <w:r>
        <w:rPr>
          <w:rFonts w:hint="eastAsia" w:cs="方正小标宋简体" w:asciiTheme="minorEastAsia" w:hAnsiTheme="minorEastAsia"/>
          <w:sz w:val="40"/>
          <w:szCs w:val="44"/>
          <w:highlight w:val="none"/>
        </w:rPr>
        <w:t xml:space="preserve"> </w:t>
      </w:r>
      <w:r>
        <w:rPr>
          <w:rFonts w:hint="eastAsia" w:cs="方正小标宋简体" w:asciiTheme="minorEastAsia" w:hAnsiTheme="minorEastAsia"/>
          <w:b/>
          <w:sz w:val="40"/>
          <w:szCs w:val="44"/>
          <w:highlight w:val="none"/>
        </w:rPr>
        <w:t xml:space="preserve"> 二</w:t>
      </w:r>
      <w:r>
        <w:rPr>
          <w:rFonts w:cs="方正小标宋简体" w:asciiTheme="minorEastAsia" w:hAnsiTheme="minorEastAsia"/>
          <w:b/>
          <w:sz w:val="40"/>
          <w:szCs w:val="44"/>
          <w:highlight w:val="none"/>
        </w:rPr>
        <w:t xml:space="preserve"> </w:t>
      </w:r>
      <w:r>
        <w:rPr>
          <w:rFonts w:hint="eastAsia" w:cs="方正小标宋简体" w:asciiTheme="minorEastAsia" w:hAnsiTheme="minorEastAsia"/>
          <w:b/>
          <w:sz w:val="40"/>
          <w:szCs w:val="44"/>
          <w:highlight w:val="none"/>
        </w:rPr>
        <w:t>0</w:t>
      </w:r>
      <w:r>
        <w:rPr>
          <w:rFonts w:cs="方正小标宋简体" w:asciiTheme="minorEastAsia" w:hAnsiTheme="minorEastAsia"/>
          <w:b/>
          <w:sz w:val="40"/>
          <w:szCs w:val="44"/>
          <w:highlight w:val="none"/>
        </w:rPr>
        <w:t>二二年</w:t>
      </w:r>
      <w:r>
        <w:rPr>
          <w:rFonts w:hint="eastAsia" w:cs="方正小标宋简体" w:asciiTheme="minorEastAsia" w:hAnsiTheme="minorEastAsia"/>
          <w:b/>
          <w:sz w:val="40"/>
          <w:szCs w:val="44"/>
          <w:highlight w:val="none"/>
        </w:rPr>
        <w:t>六</w:t>
      </w:r>
      <w:r>
        <w:rPr>
          <w:rFonts w:cs="方正小标宋简体" w:asciiTheme="minorEastAsia" w:hAnsiTheme="minorEastAsia"/>
          <w:b/>
          <w:sz w:val="40"/>
          <w:szCs w:val="44"/>
          <w:highlight w:val="none"/>
        </w:rPr>
        <w:t>月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  <w:highlight w:val="none"/>
        </w:rPr>
      </w:pPr>
    </w:p>
    <w:p>
      <w:pPr>
        <w:spacing w:line="592" w:lineRule="exact"/>
        <w:jc w:val="center"/>
        <w:rPr>
          <w:rFonts w:cs="仿宋_GB2312" w:asciiTheme="minorEastAsia" w:hAnsiTheme="minorEastAsia"/>
          <w:b/>
          <w:sz w:val="28"/>
          <w:szCs w:val="32"/>
          <w:highlight w:val="none"/>
        </w:rPr>
      </w:pPr>
      <w:r>
        <w:rPr>
          <w:rFonts w:hint="eastAsia" w:cs="方正小标宋简体" w:asciiTheme="minorEastAsia" w:hAnsiTheme="minorEastAsia"/>
          <w:b/>
          <w:sz w:val="40"/>
          <w:szCs w:val="44"/>
          <w:highlight w:val="none"/>
        </w:rPr>
        <w:t>目    录</w:t>
      </w:r>
    </w:p>
    <w:p>
      <w:pPr>
        <w:spacing w:line="3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92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第一部分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鹿邑县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司法局概况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一、主要职责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二、部门所属预算单位构成情况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第二部分 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2022年部门预算情况说明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第三部分  名词解释</w:t>
      </w:r>
    </w:p>
    <w:p>
      <w:pPr>
        <w:spacing w:line="3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2022年部门预算表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一、2022年部门收支预算表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二、2022年部门收入预算表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三、2022年部门支出预算表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四、2022年财政拨款收支总体情况表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五、2022年一般公共预算支出预算表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六、2022年一般公共预算基本支出预算表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七、2022年支出经济分类汇总表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八、2022年一般公共预算“三公”经费支出预算表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九、2022年政府性基金支出预算表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十、2022年项目支出预算表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十一、2022年部门整体绩效目标表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十二、2022年部门预算项目绩效目标表</w:t>
      </w: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第一部分 </w:t>
      </w: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概况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outlineLvl w:val="0"/>
        <w:rPr>
          <w:rFonts w:ascii="黑体" w:hAnsi="仿宋_GB2312" w:eastAsia="黑体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  <w:highlight w:val="none"/>
        </w:rPr>
        <w:t>主要职能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40" w:firstLineChars="200"/>
        <w:jc w:val="left"/>
        <w:rPr>
          <w:rFonts w:ascii="楷体_GB2312" w:hAnsi="仿宋_GB2312" w:eastAsia="楷体_GB2312" w:cs="仿宋_GB2312"/>
          <w:color w:val="000000"/>
          <w:sz w:val="32"/>
          <w:szCs w:val="32"/>
          <w:highlight w:val="none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  <w:highlight w:val="none"/>
        </w:rPr>
        <w:t>（一）机构设置情况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鹿邑县司法局是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全县司法行政工作的主管部门，机构规格为科级，现有编制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个。其中行政编制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个，事业编制0个，在职人员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人，离退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休人员3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人，政府购岗社区矫正辅助工作人员40人，内设股室11个，具体为：办公室、政办室、依法治县办秘书股、依法行政指导股、执法监督协调股、政策法规股、基层工作指导股、社区矫正工作管理股、律师公证司法鉴定工作管理股、法律援助工作办公室、计划装备财务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所属事业单位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40" w:firstLineChars="200"/>
        <w:jc w:val="left"/>
        <w:rPr>
          <w:rFonts w:ascii="楷体_GB2312" w:hAnsi="仿宋_GB2312" w:eastAsia="楷体_GB2312" w:cs="仿宋_GB2312"/>
          <w:color w:val="000000"/>
          <w:sz w:val="32"/>
          <w:szCs w:val="32"/>
          <w:highlight w:val="none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  <w:highlight w:val="none"/>
        </w:rPr>
        <w:t>（二）部门职责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(一)承担全面依法治县重大问题政策研究，协调有关方面提出全面依法治县中长期规划建议，负责有关重大决策部署督察工作。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(二)制订全县司法行政工作的发展规划并组织实施。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(三)负责向省政府备案县政府制定的规范性文件。承担县政府各部门规范性文件备案审查工作，承担县政府及政府各部门规范性文件的清理工作。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(四)承担统筹推进法治政府建设责任。负责推进全县依法行政建设法治政府方面的统筹规划、综合协调、督促指导、考核评价工作;指导监督县政府各部门、乡镇政府(办事处、管委会)依法行政工作。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五)负责综合协调、指导监督全县行政执法工作。研究完善规范行政执法有关制度;推进严格规范公正文明执法;负责推进服务型行政执法建设，全面落实行政执法责任制;承担行政执法体制改革有关工作;负责全县行政执法主体和行政执法人员资格管理;负责行政裁决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(六)承办县政府交办的法律事务。负责县政府涉法重大决策和重要事务合法性审查，负责对以县政府名义制发的重要规范性文件的合法性审查；推进全县法律顾问工作。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(七)承担统筹规划法治社会建设责任。负责拟定全县法治宣传教育规划，组织实施普法宣传工作。推动人民参与和促进法制建设。指导全县依法治理和法治创建工作。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(八)负责拟定全县公共法律服务体系建设规划并指导实施;统筹和布局全县城乡、区域法律服务资源。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(九)指导监督全县律师、法律援助、司法鉴定、公证、伸裁和基层法律服务管理工作。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(十)指导全县人民调解、安置帮教工作和人民陪审员、人民监督员选任管理工作;推进司法所建设。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)指导管理全县社区矫正工作，指导社会力量和志愿者参与社区矫正工作;对社区戒毒和社区康复工作提供指导、支持和协助。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)负责全县统一法律职业资格和证书管理工作。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(十三)指导监督全县司法行政系统财务、装备、设施、场所建设等保障工作;负责全县司法行政系统警车管理工作。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(十四)指导监督全县司法行政系统的队伍建设、思想政治教育工作和司法行政干警培训工作;负责全县司法行政系统警务管理和警务督察工作。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(十五)承办县委、县政府交办的其他事项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黑体" w:hAnsi="仿宋_GB2312" w:eastAsia="黑体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  <w:highlight w:val="none"/>
        </w:rPr>
        <w:t>二、</w:t>
      </w:r>
      <w:r>
        <w:rPr>
          <w:rFonts w:hint="eastAsia" w:ascii="黑体" w:hAnsi="仿宋_GB2312" w:eastAsia="黑体" w:cs="仿宋_GB2312"/>
          <w:color w:val="000000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黑体" w:hAnsi="仿宋_GB2312" w:eastAsia="黑体" w:cs="仿宋_GB2312"/>
          <w:color w:val="000000"/>
          <w:sz w:val="32"/>
          <w:szCs w:val="32"/>
          <w:highlight w:val="none"/>
        </w:rPr>
        <w:t>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鹿邑县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司法局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为一级预算单位，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无二级预算单位。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本预算公开为鹿邑县司法局本级预算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592" w:lineRule="exact"/>
        <w:jc w:val="center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第二部分  </w:t>
      </w: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2022年部门预算情况说明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一、收入支出预算总体情况说明</w:t>
      </w:r>
    </w:p>
    <w:p>
      <w:pPr>
        <w:autoSpaceDE w:val="0"/>
        <w:autoSpaceDN w:val="0"/>
        <w:adjustRightInd w:val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2022年收入总计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1789.09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万元，支出总计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1789.09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万元，与2021年预算相比，收、支总计各增加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554.75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万元，增长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44.94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%。主要原因：政府法制办机构改革合并，人员和经费相应增加，人员调资及社会保险单位部分增加、社区矫正工作人员增资和社会保险单位部分增加、转移支付办案资金增加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2021年结转收入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二、收入预算总体情况说明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2022年收入合计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1789.09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万元，其中：一般公共预算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1580.03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万元；结转资金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209.06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三、支出预算总体情况说明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2022年支出合计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1789.09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万元，其中：基本支出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985.43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55.08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%;项目支出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803.66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44.92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四、财政拨款收支预算总体情况说明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1789.09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万元，无政府性基金预算和国有资本经营预算。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与2021年相比，一般公共预算收支预算增加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554.75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万元，增长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44.94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%,主要原因：政府法制办机构改革合并，人员和经费相应增加，人员调资及社会保险单位部分增加、社区矫正工作人员增资和社会保险单位部分增加等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五、一般公共预算支出预算情况说明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1580.03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万元。其中：基本支出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985.43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62.37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%;项目支出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594.60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37.63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%。主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要用于以下方面：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1、公共安全支出1410.51万元，占89.27% 。其中：司法（款）行政运行（项）支出1173.76万元；司法（款）一般行政管理事务（项）支出119万元；司法（款）普法宣传（项）支出20万元；司法（款）事业运行（项）支出97.74万元。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社会保障和就业支出94.68万元，占6%。其中：行政事业单位养老支出（款）机关事业单位基本养老保险缴费支出（项）支出90.64万元；其他社会保障和就业支出（款）其他社会保障和就业支出（项）支出4.04万元。</w:t>
      </w:r>
    </w:p>
    <w:p>
      <w:pPr>
        <w:spacing w:line="592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3、卫生健康支出41.14万元，占2.60% 。其中：行政事业单位医疗（款）行政单位医疗（项）支出25.84万元；行政事业单位医疗（款）事业单位医疗（项）支出5.86万元；行政事业单位医疗（款）其他行政事业单位医疗支出（项）支出9.43万元。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4、住房保障支出 33.70万元，占2.13% 。其中：住房改革支出（款）住房公积金（项）支出33.70万元。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六、一般公共预算基本支出预算情况说明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鹿邑县司法局2022年一般公共预算基本支出年初预算为985.43万元。其中：人员经费支出824.51万元，占83.67%;主要包括：基本工资、津贴补贴、奖金、机关事业单位基本养老保险缴费、职工基本医疗保险缴费、其他社会保障缴费、住房公积金、退休费；公用经费支出160.92万元，占16.33%。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公务用车运行维护费、其他交通费用、其他商品和服务支出等。</w:t>
      </w:r>
    </w:p>
    <w:p>
      <w:pPr>
        <w:pStyle w:val="4"/>
        <w:widowControl/>
        <w:shd w:val="clear" w:color="auto" w:fill="FFFFFF"/>
        <w:spacing w:before="0" w:beforeAutospacing="0" w:after="298" w:afterAutospacing="0" w:line="580" w:lineRule="exact"/>
        <w:ind w:left="567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七、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</w:rPr>
        <w:t>支出预算经济分类情况说明</w:t>
      </w:r>
    </w:p>
    <w:p>
      <w:pPr>
        <w:autoSpaceDE w:val="0"/>
        <w:autoSpaceDN w:val="0"/>
        <w:adjustRightInd w:val="0"/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2022年预算支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出1789.09万元，其中：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301工资福利支出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1084.53万元，主要包括：基本工资、津贴补贴、奖金、社会保障缴费、基本养老保险缴费、职工基本医疗保险缴费、其他社会保障缴费、住房公积金、其他工资福利性支出；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302商品和服务支出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638.07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公务用车运行维护费、其他交通费用、其他商品和服务支出等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303对个人和家庭的补助支出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2.99万元，主要包括：生活补助、退休费；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310资本性支出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63.50万元，主要包括：其他资本性支出。</w:t>
      </w:r>
    </w:p>
    <w:p>
      <w:pPr>
        <w:pStyle w:val="4"/>
        <w:widowControl/>
        <w:shd w:val="clear" w:color="auto" w:fill="FFFFFF"/>
        <w:spacing w:before="0" w:beforeAutospacing="0" w:after="298" w:afterAutospacing="0" w:line="580" w:lineRule="exact"/>
        <w:ind w:left="567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八、一般公共预算“三公”经费支出预算情况说明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2022年“三公”经费支出预算为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万元。2022年“三公”经费支出预算数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与2021年持平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具体支出情况如下：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  <w:highlight w:val="none"/>
        </w:rPr>
        <w:t xml:space="preserve">    （一）因公出国（境）费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年持平。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</w:t>
      </w: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  <w:highlight w:val="none"/>
        </w:rPr>
        <w:t>（二）公务用车购置及运行费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元。其中公务车辆购置费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与2021年持平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公务用车运行维护费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，主要用于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车辆燃油费、过路费、保险费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与2021年持平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。</w:t>
      </w:r>
    </w:p>
    <w:p>
      <w:pPr>
        <w:spacing w:line="580" w:lineRule="exact"/>
        <w:ind w:firstLine="636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  <w:highlight w:val="none"/>
        </w:rPr>
        <w:t>（三）公务接待费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万元，主要用于上级检查、督导、兄弟城市之间的学习交流等，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与2021年持平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九、政府性基金支出预算情况说明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鹿邑县司法局2022年无使用政府性基金预算拨款安排的支出。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十、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</w:rPr>
        <w:t>国有资本经营预算支出预算情况说明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鹿邑县司法局2022年无使用国有资本经营预算拨款安排的支出。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十一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</w:rPr>
        <w:t>、行政（事业）单位机构运转经费情况说明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2022年机构运转经费支出预算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160.92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主要保障机关机构正常运转及正常履职需要的办公费、水电费、物业费、维修费、差旅费等支出，比2021年增加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12.64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8.52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%，主要原因：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定员定额公用经费增加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spacing w:line="592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</w:rPr>
        <w:t>十二、项目绩效目标设置情况说明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2021年，我单位对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个项目纳入预算绩效全过程管理，涉及资金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369.20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万元。</w:t>
      </w:r>
      <w:r>
        <w:rPr>
          <w:rFonts w:hint="eastAsia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纳入预算绩效管理的支出总额为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803.66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万元，其中：人员经费支出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263.01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万元，公用经费支出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5.99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万元，项目支出总额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534.66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万元。支出项目共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个，其中：预算支出100万元及100万元以上的重点项目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454.64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十三、其他重要事项情况说明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（一）政府采购支出预算情况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鹿邑县司法局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2022年政府采购预算安排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万元，其中：政府采购货物预算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（二）国有资产占用情况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2021年期末，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鹿邑县司法局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固定资产总额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560.13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其中，房屋建筑物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万元，车辆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89.70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万元，办公设备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375.84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万元，专用设备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6.59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万元。车辆共有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辆，其中：执法执勤车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辆，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其他用车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台（套）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（三）专项转移支付项目情况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鹿邑县司法局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负责管理的专项转移支付项目共有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项，主要是：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政法纪检监察转移支付办案（业务）经费项目115万元、政法纪检监察转移支付业务装备项目50万元（豫财政法【2021】110号、130号）。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办案经费使用原则上应直接与具体案件挂钩，经费开支实行单独核算，严格执行现行国家规定的办案经费开支范围，确保专款专用；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业务装备经费用于司法机关购置各类业务装备支出。按照省司法厅和省财政厅业务装备购置要求，根据本地区装备配备规划和年度实施计划，有组织地进行政府采购。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我单位将按照《预算法》等有关规定，积极做好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政法转移支付资金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分配前期准备工作，在规定的时间内向财政部门提出资金分配意见，根据有关要求做好项目申报公开等相关工作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autoSpaceDE w:val="0"/>
        <w:autoSpaceDN w:val="0"/>
        <w:adjustRightInd w:val="0"/>
        <w:spacing w:line="592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（四）债务收支项目情况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鹿邑县司法局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2022年没有债务收入支出项目安排。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（五）关于预算部门构成说明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2022年我单位按照县财政预算公开要求，将所属预算单位全部纳入预算公开范围。</w:t>
      </w:r>
    </w:p>
    <w:p>
      <w:pPr>
        <w:spacing w:line="592" w:lineRule="exact"/>
        <w:jc w:val="center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第三部分  名词解释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一、财政拨款收入：是指县级财政当年拨付的资金。包括一般公共预算拨款、政府性基金预算拨款、国有资本经营预算拨款。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二、事业收入：是指事业单位开展专业活动及辅助活动所取得的收入。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三、其他收入：是指部门取得的除“财政拨款”、“事业收入”、“事业单位经营收入”等以外的收入。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四、基本支出：是指为保障机构正常运转、完成日常工作任务所必需的开支，其内容包括人员经费和日常公用经费两部分。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五、项目支出：是指在基本支出之外，为完成特定的行政工作任务或事业发展目标所发生的支出。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六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;公务用车购置及运行费反映单位公务用车购置费及租用费、燃料费、维修费、过路过桥费、保险费、安全奖励费用等支出;公务接待费反映单位按规定开支的各类公务接待（含外宾接待）支出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行政（事业）单位机构运转经费情况：是指为保障单位（包括行政单位和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八、工资福利支出：单位支付给在职职工和编制外长期聘用人员的各类劳动报酬，以及为上述人员缴纳的各项社会保险费等。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九、商品和服务支出：单位购买商品和服务的支出。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十、对个人和家庭的补助支出：单位用于对个人和家庭的补助支出。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十一、年末结转：本年度或以前年度预算安排，已执行但尚未完成或因客观条件发生变化无法按原计划实施，需延迟到以后年度按有关规定继续使用的资金。</w:t>
      </w:r>
    </w:p>
    <w:p>
      <w:pPr>
        <w:autoSpaceDE w:val="0"/>
        <w:autoSpaceDN w:val="0"/>
        <w:adjustRightInd w:val="0"/>
        <w:spacing w:line="59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十二、年末结余：本年度或以前年度预算安排，已执行完毕或因客观条件发生变化无法按原预算安排实施，不需要再使用或无法按原预算安排继续使用的资金。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附件：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鹿邑县司法局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2022年部门预算表</w:t>
      </w:r>
    </w:p>
    <w:p>
      <w:pPr>
        <w:spacing w:line="592" w:lineRule="exact"/>
        <w:ind w:right="1260" w:rightChars="600"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spacing w:line="592" w:lineRule="exact"/>
        <w:ind w:right="1260" w:rightChars="600" w:firstLine="640" w:firstLineChars="200"/>
        <w:jc w:val="righ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2022年6月22日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sectPr>
      <w:footerReference r:id="rId3" w:type="default"/>
      <w:pgSz w:w="11906" w:h="16838"/>
      <w:pgMar w:top="1984" w:right="1474" w:bottom="1701" w:left="1587" w:header="851" w:footer="124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TNiM2UzZmUxNDg1MDI0OWJjYzQwODY1M2MxYjUifQ=="/>
  </w:docVars>
  <w:rsids>
    <w:rsidRoot w:val="202A2941"/>
    <w:rsid w:val="00087DEB"/>
    <w:rsid w:val="000C2DE6"/>
    <w:rsid w:val="000D698E"/>
    <w:rsid w:val="00166606"/>
    <w:rsid w:val="00217196"/>
    <w:rsid w:val="00230E45"/>
    <w:rsid w:val="002317B1"/>
    <w:rsid w:val="00263AD0"/>
    <w:rsid w:val="00294CA2"/>
    <w:rsid w:val="0036660B"/>
    <w:rsid w:val="003E7464"/>
    <w:rsid w:val="004065F0"/>
    <w:rsid w:val="00423DA7"/>
    <w:rsid w:val="004B3EF4"/>
    <w:rsid w:val="004C02DC"/>
    <w:rsid w:val="00507516"/>
    <w:rsid w:val="00552DF2"/>
    <w:rsid w:val="005709A8"/>
    <w:rsid w:val="00594278"/>
    <w:rsid w:val="005B210D"/>
    <w:rsid w:val="006078E4"/>
    <w:rsid w:val="00632B94"/>
    <w:rsid w:val="00660F87"/>
    <w:rsid w:val="0069032E"/>
    <w:rsid w:val="006971BE"/>
    <w:rsid w:val="006C60F5"/>
    <w:rsid w:val="007365C1"/>
    <w:rsid w:val="00811E50"/>
    <w:rsid w:val="00846B4E"/>
    <w:rsid w:val="008F3581"/>
    <w:rsid w:val="0095200B"/>
    <w:rsid w:val="009833E2"/>
    <w:rsid w:val="00A47F78"/>
    <w:rsid w:val="00A72C05"/>
    <w:rsid w:val="00B34BA0"/>
    <w:rsid w:val="00BA0B3E"/>
    <w:rsid w:val="00BF3B18"/>
    <w:rsid w:val="00C0684D"/>
    <w:rsid w:val="00CF11AD"/>
    <w:rsid w:val="00E153CF"/>
    <w:rsid w:val="00E33B92"/>
    <w:rsid w:val="00E65D66"/>
    <w:rsid w:val="00E67929"/>
    <w:rsid w:val="00E82EF6"/>
    <w:rsid w:val="00E916D4"/>
    <w:rsid w:val="00F05104"/>
    <w:rsid w:val="00F10391"/>
    <w:rsid w:val="00F34E54"/>
    <w:rsid w:val="00F41BBC"/>
    <w:rsid w:val="00F6759C"/>
    <w:rsid w:val="00F74C61"/>
    <w:rsid w:val="00F82D0B"/>
    <w:rsid w:val="01302F20"/>
    <w:rsid w:val="02D212D8"/>
    <w:rsid w:val="037173BD"/>
    <w:rsid w:val="041D33F3"/>
    <w:rsid w:val="059A1BAF"/>
    <w:rsid w:val="05C7741B"/>
    <w:rsid w:val="05DD08BB"/>
    <w:rsid w:val="06264D70"/>
    <w:rsid w:val="062C6EE6"/>
    <w:rsid w:val="06E0542D"/>
    <w:rsid w:val="07786D51"/>
    <w:rsid w:val="085B3B1D"/>
    <w:rsid w:val="09C91A07"/>
    <w:rsid w:val="0B9B62E0"/>
    <w:rsid w:val="0BEC125B"/>
    <w:rsid w:val="0F0F11BE"/>
    <w:rsid w:val="0FE97783"/>
    <w:rsid w:val="10B244F7"/>
    <w:rsid w:val="12A34811"/>
    <w:rsid w:val="15FA7BEE"/>
    <w:rsid w:val="16501E4C"/>
    <w:rsid w:val="16B66388"/>
    <w:rsid w:val="17031ABD"/>
    <w:rsid w:val="17233A97"/>
    <w:rsid w:val="173E0892"/>
    <w:rsid w:val="17D7545E"/>
    <w:rsid w:val="180827DB"/>
    <w:rsid w:val="19F25819"/>
    <w:rsid w:val="1AD82798"/>
    <w:rsid w:val="1B845CD8"/>
    <w:rsid w:val="1C686420"/>
    <w:rsid w:val="1CDD59CC"/>
    <w:rsid w:val="1E961352"/>
    <w:rsid w:val="1ED06CA9"/>
    <w:rsid w:val="202A2941"/>
    <w:rsid w:val="208470CF"/>
    <w:rsid w:val="22145452"/>
    <w:rsid w:val="22FF018D"/>
    <w:rsid w:val="2486076E"/>
    <w:rsid w:val="25AA63FD"/>
    <w:rsid w:val="26B718D2"/>
    <w:rsid w:val="28DA2214"/>
    <w:rsid w:val="2AFF3E17"/>
    <w:rsid w:val="2BFB4283"/>
    <w:rsid w:val="2CDA3FC7"/>
    <w:rsid w:val="2D157E8F"/>
    <w:rsid w:val="2EA15B59"/>
    <w:rsid w:val="2EFF2BA5"/>
    <w:rsid w:val="2F4A2072"/>
    <w:rsid w:val="2FC87C0B"/>
    <w:rsid w:val="2FCB0113"/>
    <w:rsid w:val="30803C7F"/>
    <w:rsid w:val="32E22179"/>
    <w:rsid w:val="349A13A6"/>
    <w:rsid w:val="34DB150A"/>
    <w:rsid w:val="354B6F9B"/>
    <w:rsid w:val="355E6877"/>
    <w:rsid w:val="36A54860"/>
    <w:rsid w:val="373F21A7"/>
    <w:rsid w:val="37BE35FD"/>
    <w:rsid w:val="38B952B9"/>
    <w:rsid w:val="399F5407"/>
    <w:rsid w:val="3A59585F"/>
    <w:rsid w:val="3AFE38F2"/>
    <w:rsid w:val="3B78397B"/>
    <w:rsid w:val="3EE8356E"/>
    <w:rsid w:val="40645B9D"/>
    <w:rsid w:val="40FE3CDD"/>
    <w:rsid w:val="415617C2"/>
    <w:rsid w:val="440D272D"/>
    <w:rsid w:val="45275022"/>
    <w:rsid w:val="459825E6"/>
    <w:rsid w:val="45A8633B"/>
    <w:rsid w:val="461D0098"/>
    <w:rsid w:val="46A20C3F"/>
    <w:rsid w:val="472A3228"/>
    <w:rsid w:val="47601FC8"/>
    <w:rsid w:val="48375B97"/>
    <w:rsid w:val="48DD58AD"/>
    <w:rsid w:val="48DF5182"/>
    <w:rsid w:val="4AE22F5E"/>
    <w:rsid w:val="4C3A7400"/>
    <w:rsid w:val="512C2A18"/>
    <w:rsid w:val="52952755"/>
    <w:rsid w:val="53484354"/>
    <w:rsid w:val="53B8010D"/>
    <w:rsid w:val="5410136A"/>
    <w:rsid w:val="54EF499E"/>
    <w:rsid w:val="57140182"/>
    <w:rsid w:val="574214EE"/>
    <w:rsid w:val="58076DB9"/>
    <w:rsid w:val="580C05B8"/>
    <w:rsid w:val="59BD0579"/>
    <w:rsid w:val="5D3C70A9"/>
    <w:rsid w:val="60281A6A"/>
    <w:rsid w:val="63110A66"/>
    <w:rsid w:val="63FE4BFE"/>
    <w:rsid w:val="648B4D63"/>
    <w:rsid w:val="64ED07CF"/>
    <w:rsid w:val="65265BEB"/>
    <w:rsid w:val="65C538A7"/>
    <w:rsid w:val="67ED65CE"/>
    <w:rsid w:val="68033400"/>
    <w:rsid w:val="68CB71D8"/>
    <w:rsid w:val="68E026E1"/>
    <w:rsid w:val="6A072332"/>
    <w:rsid w:val="6A980021"/>
    <w:rsid w:val="6B412211"/>
    <w:rsid w:val="6C3D28E4"/>
    <w:rsid w:val="6CA6320F"/>
    <w:rsid w:val="6F2C24A0"/>
    <w:rsid w:val="6F3620B2"/>
    <w:rsid w:val="6F416D4B"/>
    <w:rsid w:val="70D60C97"/>
    <w:rsid w:val="70D91766"/>
    <w:rsid w:val="724A54B2"/>
    <w:rsid w:val="72B80E4C"/>
    <w:rsid w:val="74F92A9E"/>
    <w:rsid w:val="759F51BF"/>
    <w:rsid w:val="76303C87"/>
    <w:rsid w:val="769A6A08"/>
    <w:rsid w:val="77487BB6"/>
    <w:rsid w:val="77866F8F"/>
    <w:rsid w:val="77B05DB7"/>
    <w:rsid w:val="78B9261E"/>
    <w:rsid w:val="794E3ADA"/>
    <w:rsid w:val="79681B1A"/>
    <w:rsid w:val="79A62B78"/>
    <w:rsid w:val="7B7F61CD"/>
    <w:rsid w:val="7B8179CF"/>
    <w:rsid w:val="7BA619AB"/>
    <w:rsid w:val="7C55517F"/>
    <w:rsid w:val="7DDC1004"/>
    <w:rsid w:val="7EEC32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13</Pages>
  <Words>4832</Words>
  <Characters>5289</Characters>
  <Lines>40</Lines>
  <Paragraphs>11</Paragraphs>
  <TotalTime>1</TotalTime>
  <ScaleCrop>false</ScaleCrop>
  <LinksUpToDate>false</LinksUpToDate>
  <CharactersWithSpaces>5320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2022-09-20T01:12:00Z</dcterms:created>
  <dc:creator>sai～～～～</dc:creator>
  <cp:lastModifiedBy>Administrator</cp:lastModifiedBy>
  <cp:lastPrinted>2022-09-21T08:17:00Z</cp:lastPrinted>
  <dcterms:modified xsi:type="dcterms:W3CDTF">2022-10-12T02:33:42Z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150E4D7E63294AC4BF509694457DB29C</vt:lpwstr>
  </property>
</Properties>
</file>