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72"/>
          <w:szCs w:val="72"/>
          <w:lang w:val="en-US" w:eastAsia="zh-CN"/>
        </w:rPr>
      </w:pPr>
    </w:p>
    <w:p>
      <w:pPr>
        <w:ind w:firstLine="720" w:firstLineChars="100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2019年部门预算公开</w:t>
      </w: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（鹿邑县鸣鹿办事处）</w:t>
      </w: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100"/>
        <w:jc w:val="center"/>
        <w:rPr>
          <w:rFonts w:hint="eastAsia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2019年度</w:t>
      </w:r>
    </w:p>
    <w:p>
      <w:pPr>
        <w:keepNext w:val="0"/>
        <w:keepLines w:val="0"/>
        <w:widowControl/>
        <w:suppressLineNumbers w:val="0"/>
        <w:ind w:firstLine="480" w:firstLineChars="100"/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100"/>
        <w:jc w:val="left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100"/>
        <w:jc w:val="left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100"/>
        <w:jc w:val="left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100"/>
        <w:jc w:val="left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100"/>
        <w:jc w:val="left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32" w:firstLineChars="10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2019 年度鸣鹿办事处部门预算公开 </w:t>
      </w:r>
    </w:p>
    <w:p>
      <w:pPr>
        <w:keepNext w:val="0"/>
        <w:keepLines w:val="0"/>
        <w:widowControl/>
        <w:suppressLineNumbers w:val="0"/>
        <w:ind w:firstLine="3453" w:firstLineChars="80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目 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鸣鹿办事处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部门概况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一、主要职能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二、部门预算单位构成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第二部分 鸣鹿办事处 2019 年度部门预算情况说明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第三部分 名词解释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附件：鸣鹿办事处2019 年度部门预算表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一、部门收支总体情况表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二、部门收入总体情况表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三、部门支出总体情况表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四、一般公共预算支出情况表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五、财政拨款收支总体情况表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六、支出经济分类汇总表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七、一般公共预算基本支出情况表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八、政府性基金预算支出情况表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九、一般公共预算“三公”经费支出情况表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第一部分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鸣鹿办事处部门概况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一、</w:t>
      </w: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鸣鹿办事处</w:t>
      </w:r>
      <w:r>
        <w:rPr>
          <w:rFonts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 xml:space="preserve">部门主要职能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（一）机构设置情况 </w:t>
      </w:r>
    </w:p>
    <w:p>
      <w:pPr>
        <w:autoSpaceDE w:val="0"/>
        <w:autoSpaceDN w:val="0"/>
        <w:adjustRightInd w:val="0"/>
        <w:jc w:val="left"/>
        <w:rPr>
          <w:rFonts w:hint="default" w:cs="仿宋" w:asciiTheme="minorEastAsia" w:hAnsiTheme="minorEastAsia" w:eastAsiaTheme="minorEastAsia"/>
          <w:kern w:val="0"/>
          <w:sz w:val="32"/>
          <w:szCs w:val="32"/>
          <w:lang w:val="en-US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 xml:space="preserve">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鸣鹿办事处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是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鹿邑县人民政府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的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派出机构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，</w:t>
      </w:r>
      <w:r>
        <w:rPr>
          <w:rFonts w:hint="eastAsia" w:cs="仿宋" w:asciiTheme="minorEastAsia" w:hAnsiTheme="minorEastAsia"/>
          <w:kern w:val="0"/>
          <w:sz w:val="32"/>
          <w:szCs w:val="32"/>
          <w:lang w:eastAsia="zh-CN"/>
        </w:rPr>
        <w:t>属行政科级单位，设有三个服务中心：计划生育技术服务中心，城镇建设发展服务中心，社区服务中心。设有财政所、民政所、劳保所、国土所、派出所、食药所</w:t>
      </w:r>
      <w:r>
        <w:rPr>
          <w:rFonts w:hint="eastAsia" w:cs="仿宋" w:asciiTheme="minorEastAsia" w:hAnsiTheme="minorEastAsia"/>
          <w:kern w:val="0"/>
          <w:sz w:val="32"/>
          <w:szCs w:val="32"/>
          <w:lang w:val="en-US" w:eastAsia="zh-CN"/>
        </w:rPr>
        <w:t>6个所，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现有在编人员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42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人，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其中行政编制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9人，事业编制33人，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财政全供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41人，差供1人。</w:t>
      </w:r>
      <w:r>
        <w:rPr>
          <w:rFonts w:hint="eastAsia" w:cs="仿宋" w:asciiTheme="minorEastAsia" w:hAnsiTheme="minorEastAsia"/>
          <w:kern w:val="0"/>
          <w:sz w:val="32"/>
          <w:szCs w:val="32"/>
          <w:lang w:val="en-US" w:eastAsia="zh-CN"/>
        </w:rPr>
        <w:t>所属事业单位0个。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 xml:space="preserve">（二）部门职责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1.拟订全办事处发展战略、政策、规划和改革方案并组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织实施，促进社会经济、政治、文化、社会、生态建设。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2.负责管理和监督办事处行政、政法、教育、科学、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文化、体育等支出。研究提出相关政策建议。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3.负责管理和监督办事处农业、林业、水利、扶贫等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支出，研究提出相关政策建议。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4.承办县委、县政府交办的其他事项。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 xml:space="preserve">二、鸣鹿办事处部门预算单位构成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鸣鹿办事处为一级预算单位，无二级预算单位。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第二部分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鸣鹿办事处 2019 年度部门预算情况说明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 xml:space="preserve">一、收入支出预算总体情况说明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鸣鹿办事处 2019 年收入总计 305.641万元，支出总计 305.641万元，与 2018 年相比，收、支总计各减少 6.2343 万元，减 少 1.99%。主要原因是：2019项目资金收入支出的减少。其中：基本支出 297.641万元，占97.38%。项目支出8万元，占2.62%。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 xml:space="preserve">二、收入预算总体情况说明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鸣鹿办事处2019 年收入合计 305.641万元，其中：一般公共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预算收入 305.641万元。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 xml:space="preserve">三、支出预算总体情况说明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鸣鹿办事处2019 年支出合计 305.641万元，其中：基本支出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297.641万元，占 97.38%；项目支出 8万元，占 2.62%。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 xml:space="preserve">四、一般公共预算支出预算情况说明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鸣鹿办事处2019 年一般公共预算支出年初预算为 305.641万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元。主要用于以下方面：一般公共服务（类）支出 185.9073万元，占 60.83%； 社会保障和就业（类）支出 41.7663万元，占 13.67%；医疗卫生与计划生育支出43.9195万元，占14.37%；农林水（类）支出 25.3194万元，占 8.28%；住房保障（类）支出 8.7285万元，占2.85%。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五、财政拨款收入支出预算总体情况说明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鸣鹿办事处 2019 年一般公共预算收支预算 305.641 万元，与 2018 年相比，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收、支总计各减少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6.2343万元，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下降 1.99%，主要原因：项目收入的减少。其中：基本支出297.641万元，占 97.38%；项目支出 8万元，占 2.62%。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六、支出经济分类汇总情况说明 </w:t>
      </w:r>
    </w:p>
    <w:p>
      <w:pPr>
        <w:spacing w:line="566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鸣鹿办事处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年一般公共预算支出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305.641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万元，其中：工资福利性支出预算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231.6226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万元，主要包括：基本工资、津贴补贴、奖金、社会保障缴费、绩效工资、其他工资福利性支出等；商品和服务支出预算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65.02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万元，主要包括办公费、水电费、差旅费、公务交通补贴等支出;对个人和家庭补助支出预算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0.9984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万元，主要包括：抚恤、遗属补助、离退休费、住房公积金等支出。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专项支出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8万元</w:t>
      </w:r>
    </w:p>
    <w:p>
      <w:pPr>
        <w:numPr>
          <w:ilvl w:val="0"/>
          <w:numId w:val="0"/>
        </w:numPr>
        <w:spacing w:line="566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七、一般公共预算基本支出预算情况说明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鸣鹿办事处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一般公共预算基本支出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合计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305.641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万元，其中工资福利性支出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231.6226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75.78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%；商品和服务支出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65.02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21.27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%，对个人和家庭补助支出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0.9984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万元，占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0.33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 %。比201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公共预算总支出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减少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6.2348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万元。主要原因：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项目支出减少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等因素。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八、政府性基金预算支出预算情况说明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鸣鹿办事处 2019 年无政府性基金预算。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九、一般公共预算“三公”经费支出情况说明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鸣鹿办事处2019 年“三公”经费预算为 3.45万元。2019 年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“三公”经费支出预算数与 2018 年持平。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具体支出情况如下：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一）因公出国（境）费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0 万元，与 2018 年持平。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（二）公务接待费 0.45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万元，主要用于按规定开支的各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类接待费用，与 2018 年持平。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三）公务用车购置及运行费 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万元，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其中，公务用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车运行维护费 3万元，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主要用于单位保留公务用车燃料费、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维修费、过路过桥费、保险费等支出，与 2018 年持平；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公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务用车购置费 0 万元，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与 2018 年持平。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十、其他重要事项的情况说明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（一）机关运行经费支出情况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鸣鹿办事处2019 年机关运行经费支出预算 297.641万元，主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要保障机关人员工资正常发放及机构正常运转正常履职需要，比 2018 年同比增加43.7657万元，上升 15.5%。主要原因人员增加导致公用经费增加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（二）政府采购支出情况 </w:t>
      </w:r>
    </w:p>
    <w:p>
      <w:pPr>
        <w:autoSpaceDE w:val="0"/>
        <w:autoSpaceDN w:val="0"/>
        <w:adjustRightInd w:val="0"/>
        <w:jc w:val="left"/>
        <w:rPr>
          <w:rFonts w:ascii="宋体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2019</w:t>
      </w:r>
      <w:r>
        <w:rPr>
          <w:rFonts w:hint="eastAsia" w:ascii="宋体" w:hAnsi="宋体" w:cs="仿宋"/>
          <w:kern w:val="0"/>
          <w:sz w:val="30"/>
          <w:szCs w:val="30"/>
        </w:rPr>
        <w:t>年政府采购预算安排</w:t>
      </w:r>
      <w:r>
        <w:rPr>
          <w:rFonts w:hint="eastAsia" w:ascii="宋体" w:hAnsi="宋体" w:cs="仿宋"/>
          <w:kern w:val="0"/>
          <w:sz w:val="30"/>
          <w:szCs w:val="30"/>
          <w:lang w:val="en-US" w:eastAsia="zh-CN"/>
        </w:rPr>
        <w:t>0</w:t>
      </w:r>
      <w:r>
        <w:rPr>
          <w:rFonts w:hint="eastAsia" w:ascii="宋体" w:hAnsi="宋体" w:cs="仿宋"/>
          <w:kern w:val="0"/>
          <w:sz w:val="30"/>
          <w:szCs w:val="30"/>
        </w:rPr>
        <w:t>万元，其中：政府采购货物预算</w:t>
      </w:r>
      <w:r>
        <w:rPr>
          <w:rFonts w:hint="eastAsia" w:ascii="宋体" w:hAnsi="宋体" w:cs="仿宋"/>
          <w:kern w:val="0"/>
          <w:sz w:val="30"/>
          <w:szCs w:val="30"/>
          <w:lang w:val="en-US" w:eastAsia="zh-CN"/>
        </w:rPr>
        <w:t>0</w:t>
      </w:r>
      <w:r>
        <w:rPr>
          <w:rFonts w:hint="eastAsia" w:ascii="宋体" w:hAnsi="宋体" w:cs="仿宋"/>
          <w:kern w:val="0"/>
          <w:sz w:val="30"/>
          <w:szCs w:val="30"/>
        </w:rPr>
        <w:t>万元。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（三）关于预算绩效管理工作开展情况说明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2019年，我单位对年初安排的项目进行预算绩效评价，涉绩效工作取得了较好成效，一是加强了项目资金使用过程的监控，提高资金使用的规范性和时效性；二是加强绩效评价的沟通汇报工作，将绩效评价作为预算管理和安排以后年度预算的重要依据；三 是强化评价结果的应用，发现问题及时改进，加强评价结果与项目资金安排的链接。 四对各个预算项目支出分别进行了绩效目标申报，确保项目支出有据可依，并加强收支管理，不断提高我单位绩效管理工作水平和预算资金使用效益，确保完成年初制定绩效目标。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310" w:hanging="311" w:hangingChars="100"/>
        <w:jc w:val="left"/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国有资产占用情况。 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9" w:leftChars="47" w:firstLine="930" w:firstLineChars="3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2018年期末，鸣鹿办事处固定资产总量为241.829万元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共有车辆 1 辆，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一般公务用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，价值13.03万元。执法执勤车0辆。办公用房1300平方米，业务用房0平方米。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单价 50 万元以上通用设备 0套（信息网络设备）；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 w:bidi="ar"/>
        </w:rPr>
        <w:t>无单位价值 100 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 w:bidi="ar"/>
        </w:rPr>
        <w:t>以上专用设备。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（五）转移支付项目情况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鸣鹿办事处2019年无负责管理的转移支付项目。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（六）债务收入支出项目情况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鸣鹿办事处2019年无债务收入安排支出项目。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第三部分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名词解释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一、财政拨款收入：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是指市级财政当年拨付的资金。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二、事业收入：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是指事业单位开展专业活动及辅助活动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所取得的收入。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三、经营收入：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是指事业单位在专业活动及其辅助活动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之外开展的非独立核算经营活动取得的收入。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四、其他收入：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是指部门取得的除“财政拨款”、“事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业收入”、“事业单位经营收入”等以外的收入。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五、用事业基金弥补收支差额：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是指事业单位在当年的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“财政拨款收入”、“事业收入”、“经营收入”和“其他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收入”不足以安排当年支出的情况下，使用以前年度积累的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事业基金（即事业单位以前各年度收支相抵后，按国家规定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提取、用于弥补以后年度收 支差额的基金）弥补当年收支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缺口的资金。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六、基本支出：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是指为保障机构正常运转、完成日常工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作任务所必需的开支，其内容包括人员经费和日常公用经费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两部分。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七、项目支出：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是指在基本支出之外，为完成特定的行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政工作任务或事业发展目标所发生的支出。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八、 “三公”经费：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是指纳入市级财政预算管理，部门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使用财政拨款安排的因公出国（境）费、公务用车购置及运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行费和公务接待费。其中，因公出国（境）费反映单位公务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出国（境）的住宿费、旅费、伙食补助费、杂费、培训费等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支出；公务用车购置及运行费反映单位公务用车购置费及租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用费、燃料费、维修费、过路过桥费、保险费、安全奖励费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用等支出；公务接待费反映单位按规定开支的各类公务接待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（含外宾接待）支出。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color w:val="000000"/>
          <w:kern w:val="0"/>
          <w:sz w:val="31"/>
          <w:szCs w:val="31"/>
          <w:lang w:val="en-US" w:eastAsia="zh-CN" w:bidi="ar"/>
        </w:rPr>
        <w:t>九、机关运行经费：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是指为保障行政单位（含参照公务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员法管理的事业单位）运行用于购买货物和服务的各项资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金，包括办公及印刷费、邮电费、差旅费、会议费、福利费、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日常维修费及一般设备购置费、办公用房水电费、办公用房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取暖费、办公用房物业管理费、公务用车运行维护费以及其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他费用。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附件：鸣鹿办事处2019 年部门预算表 </w:t>
      </w:r>
    </w:p>
    <w:p>
      <w:pPr>
        <w:keepNext w:val="0"/>
        <w:keepLines w:val="0"/>
        <w:widowControl/>
        <w:suppressLineNumbers w:val="0"/>
        <w:ind w:firstLine="5270" w:firstLineChars="17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270" w:firstLineChars="17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890" w:firstLineChars="19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2019 年 3月 18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日</w:t>
      </w:r>
    </w:p>
    <w:p/>
    <w:sectPr>
      <w:pgSz w:w="11906" w:h="16838"/>
      <w:pgMar w:top="1440" w:right="163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C9D4"/>
    <w:multiLevelType w:val="singleLevel"/>
    <w:tmpl w:val="2C7CC9D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02659"/>
    <w:rsid w:val="038C2565"/>
    <w:rsid w:val="04B119C3"/>
    <w:rsid w:val="07E92E0C"/>
    <w:rsid w:val="0C9812D1"/>
    <w:rsid w:val="0FF02659"/>
    <w:rsid w:val="103340DB"/>
    <w:rsid w:val="10E74B75"/>
    <w:rsid w:val="11B335A3"/>
    <w:rsid w:val="138226B1"/>
    <w:rsid w:val="15B57EAE"/>
    <w:rsid w:val="1D8A15D3"/>
    <w:rsid w:val="268F50C4"/>
    <w:rsid w:val="272D5DFB"/>
    <w:rsid w:val="29480B39"/>
    <w:rsid w:val="2D4F258C"/>
    <w:rsid w:val="3881452A"/>
    <w:rsid w:val="3D6621A2"/>
    <w:rsid w:val="4346695F"/>
    <w:rsid w:val="491B39D2"/>
    <w:rsid w:val="535445EA"/>
    <w:rsid w:val="580F6EF4"/>
    <w:rsid w:val="59DA3336"/>
    <w:rsid w:val="5A92652D"/>
    <w:rsid w:val="5FD00C7B"/>
    <w:rsid w:val="60815C5F"/>
    <w:rsid w:val="63DC6319"/>
    <w:rsid w:val="673A73A8"/>
    <w:rsid w:val="6AC5433B"/>
    <w:rsid w:val="6B555EEE"/>
    <w:rsid w:val="70BE1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2019-05-23T10:21:00Z</dcterms:created>
  <dc:creator>Administrator</dc:creator>
  <cp:lastModifiedBy>11696</cp:lastModifiedBy>
  <cp:lastPrinted>2019-05-29T09:52:00Z</cp:lastPrinted>
  <dcterms:modified xsi:type="dcterms:W3CDTF">2019-08-05T07:57:48Z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