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72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鹿邑县产业集聚区管理委员会</w:t>
      </w:r>
    </w:p>
    <w:p>
      <w:pPr>
        <w:pStyle w:val="2"/>
        <w:bidi w:val="0"/>
        <w:spacing w:line="72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2019年预算公开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鹿邑县产业集聚区管理委员委会</w:t>
      </w:r>
    </w:p>
    <w:p>
      <w:pPr>
        <w:pStyle w:val="3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2019年度</w:t>
      </w:r>
    </w:p>
    <w:p>
      <w:pPr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2940" w:firstLineChars="1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2019 年度产业集聚区管理委员会部门预算公 开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2"/>
          <w:szCs w:val="32"/>
          <w:lang w:val="en-US" w:eastAsia="zh-CN" w:bidi="ar"/>
        </w:rPr>
        <w:t>目 录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215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产业集聚区管理委员会部门概况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215" w:lef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一、主要职能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215" w:left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二、部门预算单位构成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215" w:leftChars="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第二部分 产业集聚区管理委员会 2019 年度部门预算情况说明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215" w:leftChars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第三部分 名词解释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215" w:left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附件：产业集聚区管理委员会 2019 年度部门预算表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215"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部门收支总体情况表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二、部门收入总体情况表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20" w:firstLineChars="1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三、部门支出总体情况表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20" w:firstLineChars="1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四、财政拨款收支总体情况表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20" w:firstLineChars="1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五、一般公共预算支出情况表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20" w:firstLineChars="1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六、支出经济分类汇总表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20" w:firstLineChars="1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七、政府性基金预算支出情况表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20" w:firstLineChars="1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八、一般公共预算“三公”经费支出情况表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20" w:firstLineChars="100"/>
        <w:jc w:val="both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九、其他重要事项情况的说明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第一部分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产业集聚区管理委员会部门概况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产业集聚区管理委员会部门主要职能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  <w:t>（一）机构设置情况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产业集聚区管理委员会是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鹿邑县人民政府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派出机构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属行政副处级单位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设有财政所、民政所、劳保所、国土所、派出所、食药所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6个所，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现有在 编人员 37人（其中：行政 7人、参照公务员管理 0 人、 事业 30人），离退休人员 0 人，享受遗属补助 0人。所属事业单位0个。</w:t>
      </w:r>
    </w:p>
    <w:p>
      <w:pPr>
        <w:numPr>
          <w:ilvl w:val="0"/>
          <w:numId w:val="4"/>
        </w:numPr>
        <w:autoSpaceDE w:val="0"/>
        <w:autoSpaceDN w:val="0"/>
        <w:adjustRightInd w:val="0"/>
        <w:ind w:firstLine="643" w:firstLineChars="200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  <w:t xml:space="preserve">部门职责 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拟定产业集聚区规划并组织实施；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建设管理基础设施和公共服务设施；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招商引资、承接产业转移和经济协作；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建立并管理融资、土地收储、中小企业信用担保、人才等要素平台；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5.审核投资项目，按照规定权限进行备案和上报；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优化企业生产经营环境，维护企业合法权益；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培育和发展行业协会等中介组织；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承担相关职能部门派驻机构的协调服务工作；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负责产业集聚区管理委员会干部的考核、晋升、调整和惩戒工作；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辖区内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10个行政村日常生产、生活、安全生产等。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承办县委、县政府交办的其他工作；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二、产业集聚区管理委员会部门预算单位构成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产业集聚区管理委员会为一级预算单位，部门预算是本级预算单位。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第二部分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17" w:leftChars="294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产业集聚区管理委员会 2019 年度部门预算情况说明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17" w:leftChars="294"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17" w:leftChars="294" w:firstLine="0" w:firstLineChars="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一、收入支出预算总体情况说明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产业集聚区管理委员会 2019 年收入总计 402.47万元，支出总计402.47 万元，与 2018 年相比，收、支总计各增加 57.68 万元，增加 16.73%。主要原因是：2019 年调资增加及人员调入。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321" w:firstLineChars="1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  二、收入预算总体情况说明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产业集聚区管理委员会 2019 年收入合计402.47万元，其中：一般公共 预算收入 402.47万元，部门结转 0 万元。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三、支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出预算总体情况说明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产业集聚区管理委员会 2019 年支出合计402.47万元，其中：基本支出 281.47万元，占 69.94%；项目支出 121 万元，占 30.06%。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四、财政拨款收入支出预算总体情况说明 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产业集聚区管理委员会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年一般公共预算收支预算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3402.47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行政事业性收费收入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0万元，国有资产资源有偿使用收入113万元，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与201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年相比，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国有资产资源有偿使用收入持平。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775" w:lef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五、一般公共预算支出预算情况说明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产业集聚区管理委员会 2019 年一般公共预算支出年初预算为 402.47 万 元。主要用于以下方面：一般公共服务（类）支出 314.35 万元，占 78.11%；教育（类）支出 0 万元，占 0%； 社会保障和就业（类）支出 33.79 万元，占8.4%；农林（类）支出 42.05万元，占 10.45%；住房保障（类）支出 2.68万元，占 0.67%；卫生健康支出9.6万元，占2.39%；债务付息（类）支出 0万元，占 0%。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支出预算经济分类情况说明 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产业集聚区管理委员会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2018 年预算支出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402.47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万元，其中：人员经费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216.47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万元，主要包括：基本工资、津贴补贴、奖金、绩效工资、机关事业单位基本养老保险缴费、职工基本医疗保险缴费、其他社会保障缴费、住房公积金、其他工资福利支出、退休费、生活补助等；公用经费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主要包括：办公费、印刷费、手续费、水费、电费、邮电费、差旅费、维修（护）费、租赁费、培训费、公务接待费、劳务费、福利费、委托业务费、公务用车运行维护费、其他交通费用、其他商品和服务支出等；项目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主要包括：办公费、印刷费、水费、电费、邮电费、差旅费、维修（护）费、租赁费、会议费、培训费、公务接待费、劳务费、委托业务费、专用材料费、公务用车运行维护费、其他交通费用、其他商品和服务支出、生活补助、房屋建筑物构建、办公设备购置、专用设备购置、基础设施建设、大型修缮、土地补偿、其他资本性支出等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643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政府性基金预算支出预算情况说明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产业集聚区管理委员会 2019 年政府性基金预算0万元。 （含上级预拨(政府性基金)0万元）。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643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“三公”经费支出预算情况说明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产业集聚区管理委员会 2019 年“三公”经费预算为 10.2 万元。2019 年 “三公”经费支出预算数比2018 年多0.4万元。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具体支出情况如下：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因公出国（境）费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0 万元，与 2018 年持平。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公务接待费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5.2万元，主要用于按规定开支的各 类接待费用，比2018 年多0.4万元，加大招商引资力度。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公务用车购置及运行费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5万元，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其中，公务用 车运行维护费 5 万元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主要用于单位保留公务用车燃料费、 维修费、过路过桥费、保险费等支出，与 2018 年持平；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>公 务用车购置费 0 万元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与 2018 年持平。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00" w:firstLine="321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九、其他重要事项的情况说明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  <w:t>（一）机关运行经费支出情况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产业集聚区管理委员会 2019 年机关运行经费支出预算 281.47 万元，主 要保障机构正常运转及正常履职需要，比 2018 年同比多57.68万元，增加 25.77%。主要原因人员增加及工资正常晋级晋档。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00" w:firstLine="321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(二)政府采购支出情况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2019 年系统政府采购预算安0万元，其中：政府 采购货物预算 0万元。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（三）关于预算绩效管理工作开展情况说明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2018 年，我单位共组织对年初安排的 5 个项目进行预 算绩效评价，涉及资金 1746.39万元，绩效工作取得了较好 成效，一是加强了项目资金使用过程的监控，提高资金使用 的规范性和时效性；二是加强绩效评价的沟通汇报工作，将 绩效评价作为预算管理和安排以后年度预算的重要依据；三 是强化评价结果的应用，发现问题及时改进，加强评价结果 与项目资金安排的链接。 2019 年，我单位拟对 2个项目进行预算绩效评价，涉 及资金约 381.67万元，年初从预算项目立项的依据、可性、必要性和预算项目的实施内容、计划、绩效目标等方面 对各个预算项目支出分别进行了绩效目标申报，确保项目支 出有据可依，并加强收支管理，不断提高我单位绩效管理工作 水平和预算资金使用效益，确保完成年初制定绩效目标。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（四）国有资产占用情况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99" w:leftChars="47" w:firstLine="960" w:firstLineChars="3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2018 年期末，产业集聚区管理委员会固定资产总量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为147.492万元</w:t>
      </w:r>
      <w:r>
        <w:rPr>
          <w:rFonts w:hint="eastAsia" w:asciiTheme="minorEastAsia" w:hAnsiTheme="minorEastAsia" w:cstheme="minorEastAsia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共有车辆 8辆，其中：一般公务用 车 1辆，单价 5万元；执勤执法车1辆，其他用车6辆，单价4.8万元；通用设备 0 套（信息网络设备）； 无单位价值 100 万元以上专用设备。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办公用房500平方米，业务用房0平方米。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643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转移支付项目情况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00" w:firstLine="321" w:firstLineChars="1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产业集聚区管理委员会无负责管理的转移支付项目。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 xml:space="preserve">（六）债务收入支出项目情况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产业集聚区管理委员会2019年无债务收入安排支出目。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第三部分名词解释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财政拨款收入：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是指市级财政当年拨付的资金。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ind w:left="0" w:leftChars="0"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事业收入：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是指事业单位开展专业活动及辅助活动 所取得的收入。 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ind w:left="0" w:leftChars="0"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经营收入：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是指事业单位在专业活动及其辅助活动 之外开展的非独立核算经营活动取得的收入。 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ind w:left="0" w:leftChars="0"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其他收入：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是指部门取得的除“财政拨款”、“事 业收入”、“事业单位经营收入”等以外的收入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ind w:left="0" w:leftChars="0"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用事业基金弥补收支差额：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是指事业单位在当年的 “财政拨款收入”、“事业收入”、“经营收入”和“其他 收入”不足以安排当年支出的情况下，使用以前年度积累的 事业基金（即事业单位以前各年度收支相抵后，按国家规定 提取、用于弥补以后年度收 支差额的基金）弥补当年收支 缺口的资金。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六、基本支出：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是指为保障机构正常运转、完成日常工 作任务所必需的开支，其内容包括人员经费和日常公用经费 两部分。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20" w:firstLineChars="1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七、项目支出：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是指在基本支出之外，为完成特定的行 政工作任务或事业发展目标所发生的支出。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八、 “三公”经费：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是指纳入市级财政预算管理，部门 使用财政拨款安排的因公出国（境）费、公务用车购置及运 行费和公务接待费。其中，因公出国（境）费反映单位公务 出国（境）的住宿费、旅费、伙食补助费、杂费、培训费等支出；公务用车购置及运行费反映单位公务用车购置费及租 用费、燃料费、维修费、过路过桥费、保险费、安全奖励费 用等支出；公务接待费反映单位按规定开支的各类公务接待 （含外宾接待）支出。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九、机关运行经费：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是指为保障行政单位（含参照公务 员法管理的事业单位）运行用于购买货物和服务的各项资 金，包括办公及印刷费、邮电费、差旅费、会议费、福利费、 日常维修费及一般设备购置费、办公用房水电费、办公用房 取暖费、办公用房物业管理费、公务用车运行维护费以及其 他费用。 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附件：产业集聚区管理委员会 2019 年部门预算表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2019 年 3月 18日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658DD0"/>
    <w:multiLevelType w:val="singleLevel"/>
    <w:tmpl w:val="83658DD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A6E54A9"/>
    <w:multiLevelType w:val="singleLevel"/>
    <w:tmpl w:val="9A6E54A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B59F1D69"/>
    <w:multiLevelType w:val="singleLevel"/>
    <w:tmpl w:val="B59F1D69"/>
    <w:lvl w:ilvl="0" w:tentative="0">
      <w:start w:val="1"/>
      <w:numFmt w:val="chineseCounting"/>
      <w:suff w:val="space"/>
      <w:lvlText w:val="第%1部分"/>
      <w:lvlJc w:val="left"/>
      <w:pPr>
        <w:ind w:left="215" w:leftChars="0" w:firstLine="0" w:firstLineChars="0"/>
      </w:pPr>
      <w:rPr>
        <w:rFonts w:hint="eastAsia"/>
      </w:rPr>
    </w:lvl>
  </w:abstractNum>
  <w:abstractNum w:abstractNumId="3">
    <w:nsid w:val="046B3A79"/>
    <w:multiLevelType w:val="singleLevel"/>
    <w:tmpl w:val="046B3A7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19090598"/>
    <w:multiLevelType w:val="singleLevel"/>
    <w:tmpl w:val="1909059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1F5FB822"/>
    <w:multiLevelType w:val="singleLevel"/>
    <w:tmpl w:val="1F5FB82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FFAD5A7"/>
    <w:multiLevelType w:val="singleLevel"/>
    <w:tmpl w:val="3FFAD5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A6816"/>
    <w:rsid w:val="025E0F45"/>
    <w:rsid w:val="0A345552"/>
    <w:rsid w:val="0B587E11"/>
    <w:rsid w:val="14A97421"/>
    <w:rsid w:val="15A77EBA"/>
    <w:rsid w:val="168A70DC"/>
    <w:rsid w:val="1A1C4C31"/>
    <w:rsid w:val="211A0569"/>
    <w:rsid w:val="232C3689"/>
    <w:rsid w:val="2330707C"/>
    <w:rsid w:val="256E5CB0"/>
    <w:rsid w:val="262150CF"/>
    <w:rsid w:val="276A2601"/>
    <w:rsid w:val="27BD5048"/>
    <w:rsid w:val="28B5012B"/>
    <w:rsid w:val="29FD20CB"/>
    <w:rsid w:val="2F7E0E87"/>
    <w:rsid w:val="306A6816"/>
    <w:rsid w:val="371A5740"/>
    <w:rsid w:val="39621398"/>
    <w:rsid w:val="3AC43317"/>
    <w:rsid w:val="3BEC7C32"/>
    <w:rsid w:val="3C4F4E6E"/>
    <w:rsid w:val="3D10634E"/>
    <w:rsid w:val="3D5B6B29"/>
    <w:rsid w:val="3DDD21C0"/>
    <w:rsid w:val="432351B5"/>
    <w:rsid w:val="44714FFD"/>
    <w:rsid w:val="47012D9A"/>
    <w:rsid w:val="52BC411F"/>
    <w:rsid w:val="55BE0940"/>
    <w:rsid w:val="569E3EE8"/>
    <w:rsid w:val="595820E3"/>
    <w:rsid w:val="5AB22759"/>
    <w:rsid w:val="62F4238B"/>
    <w:rsid w:val="63454DCC"/>
    <w:rsid w:val="65637BE4"/>
    <w:rsid w:val="685B32A6"/>
    <w:rsid w:val="6A1734A2"/>
    <w:rsid w:val="6B190635"/>
    <w:rsid w:val="6C6A2048"/>
    <w:rsid w:val="6E6E57F4"/>
    <w:rsid w:val="6EFA723C"/>
    <w:rsid w:val="7136542E"/>
    <w:rsid w:val="72EF333C"/>
    <w:rsid w:val="7BD83A4E"/>
    <w:rsid w:val="7CBF67BE"/>
    <w:rsid w:val="7D4D44CD"/>
    <w:rsid w:val="7D6B36C3"/>
    <w:rsid w:val="7E072A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2019-03-27T07:28:00Z</dcterms:created>
  <dc:creator>鹿邑县卫真办事处人民政府</dc:creator>
  <cp:lastModifiedBy>11696</cp:lastModifiedBy>
  <cp:lastPrinted>2019-07-14T23:15:00Z</cp:lastPrinted>
  <dcterms:modified xsi:type="dcterms:W3CDTF">2019-08-05T07:28:15Z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