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20" w:rsidRDefault="00014D20">
      <w:pPr>
        <w:autoSpaceDE w:val="0"/>
        <w:autoSpaceDN w:val="0"/>
        <w:adjustRightInd w:val="0"/>
        <w:spacing w:line="700" w:lineRule="exact"/>
        <w:jc w:val="center"/>
        <w:rPr>
          <w:rFonts w:ascii="方正小标宋简体" w:eastAsia="方正小标宋简体" w:hAnsi="方正小标宋简体" w:cs="方正小标宋简体"/>
          <w:kern w:val="0"/>
          <w:sz w:val="44"/>
          <w:szCs w:val="44"/>
        </w:rPr>
      </w:pPr>
    </w:p>
    <w:p w:rsidR="00014D20" w:rsidRDefault="00014D20">
      <w:pPr>
        <w:autoSpaceDE w:val="0"/>
        <w:autoSpaceDN w:val="0"/>
        <w:adjustRightInd w:val="0"/>
        <w:spacing w:line="700" w:lineRule="exact"/>
        <w:jc w:val="center"/>
        <w:rPr>
          <w:rFonts w:ascii="方正小标宋简体" w:eastAsia="方正小标宋简体" w:hAnsi="方正小标宋简体" w:cs="方正小标宋简体"/>
          <w:kern w:val="0"/>
          <w:sz w:val="44"/>
          <w:szCs w:val="44"/>
        </w:rPr>
      </w:pPr>
    </w:p>
    <w:p w:rsidR="00014D20" w:rsidRDefault="00FA3AA0">
      <w:pPr>
        <w:autoSpaceDE w:val="0"/>
        <w:autoSpaceDN w:val="0"/>
        <w:adjustRightInd w:val="0"/>
        <w:spacing w:line="900" w:lineRule="exact"/>
        <w:jc w:val="center"/>
        <w:rPr>
          <w:rFonts w:ascii="方正小标宋简体" w:eastAsia="方正小标宋简体" w:hAnsi="方正小标宋简体" w:cs="方正小标宋简体"/>
          <w:kern w:val="0"/>
          <w:sz w:val="52"/>
          <w:szCs w:val="52"/>
        </w:rPr>
      </w:pPr>
      <w:r>
        <w:rPr>
          <w:rFonts w:ascii="方正小标宋简体" w:eastAsia="方正小标宋简体" w:hAnsi="方正小标宋简体" w:cs="方正小标宋简体" w:hint="eastAsia"/>
          <w:kern w:val="0"/>
          <w:sz w:val="52"/>
          <w:szCs w:val="52"/>
        </w:rPr>
        <w:t>2018年农业局预算公开</w:t>
      </w:r>
    </w:p>
    <w:p w:rsidR="00014D20" w:rsidRDefault="00014D20">
      <w:pPr>
        <w:autoSpaceDE w:val="0"/>
        <w:autoSpaceDN w:val="0"/>
        <w:adjustRightInd w:val="0"/>
        <w:spacing w:line="900" w:lineRule="exact"/>
        <w:jc w:val="center"/>
        <w:rPr>
          <w:rFonts w:ascii="方正小标宋简体" w:eastAsia="方正小标宋简体" w:hAnsi="方正小标宋简体" w:cs="方正小标宋简体"/>
          <w:kern w:val="0"/>
          <w:sz w:val="52"/>
          <w:szCs w:val="52"/>
        </w:rPr>
      </w:pPr>
    </w:p>
    <w:p w:rsidR="00014D20" w:rsidRDefault="00014D20">
      <w:pPr>
        <w:autoSpaceDE w:val="0"/>
        <w:autoSpaceDN w:val="0"/>
        <w:adjustRightInd w:val="0"/>
        <w:spacing w:line="900" w:lineRule="exact"/>
        <w:jc w:val="center"/>
        <w:rPr>
          <w:rFonts w:ascii="方正小标宋简体" w:eastAsia="方正小标宋简体" w:hAnsi="方正小标宋简体" w:cs="方正小标宋简体"/>
          <w:kern w:val="0"/>
          <w:sz w:val="52"/>
          <w:szCs w:val="52"/>
        </w:rPr>
      </w:pPr>
    </w:p>
    <w:p w:rsidR="00014D20" w:rsidRDefault="00014D20">
      <w:pPr>
        <w:autoSpaceDE w:val="0"/>
        <w:autoSpaceDN w:val="0"/>
        <w:adjustRightInd w:val="0"/>
        <w:spacing w:line="900" w:lineRule="exact"/>
        <w:jc w:val="center"/>
        <w:rPr>
          <w:rFonts w:ascii="方正小标宋简体" w:eastAsia="方正小标宋简体" w:hAnsi="方正小标宋简体" w:cs="方正小标宋简体"/>
          <w:kern w:val="0"/>
          <w:sz w:val="52"/>
          <w:szCs w:val="52"/>
        </w:rPr>
      </w:pPr>
    </w:p>
    <w:p w:rsidR="00014D20" w:rsidRDefault="00014D20">
      <w:pPr>
        <w:autoSpaceDE w:val="0"/>
        <w:autoSpaceDN w:val="0"/>
        <w:adjustRightInd w:val="0"/>
        <w:spacing w:line="900" w:lineRule="exact"/>
        <w:jc w:val="center"/>
        <w:rPr>
          <w:rFonts w:ascii="方正小标宋简体" w:eastAsia="方正小标宋简体" w:hAnsi="方正小标宋简体" w:cs="方正小标宋简体"/>
          <w:kern w:val="0"/>
          <w:sz w:val="52"/>
          <w:szCs w:val="52"/>
        </w:rPr>
      </w:pPr>
    </w:p>
    <w:p w:rsidR="00014D20" w:rsidRDefault="00014D20">
      <w:pPr>
        <w:autoSpaceDE w:val="0"/>
        <w:autoSpaceDN w:val="0"/>
        <w:adjustRightInd w:val="0"/>
        <w:spacing w:line="900" w:lineRule="exact"/>
        <w:jc w:val="center"/>
        <w:rPr>
          <w:rFonts w:ascii="方正小标宋简体" w:eastAsia="方正小标宋简体" w:hAnsi="方正小标宋简体" w:cs="方正小标宋简体"/>
          <w:kern w:val="0"/>
          <w:sz w:val="52"/>
          <w:szCs w:val="52"/>
        </w:rPr>
      </w:pPr>
    </w:p>
    <w:p w:rsidR="00014D20" w:rsidRDefault="00014D20">
      <w:pPr>
        <w:autoSpaceDE w:val="0"/>
        <w:autoSpaceDN w:val="0"/>
        <w:adjustRightInd w:val="0"/>
        <w:spacing w:line="900" w:lineRule="exact"/>
        <w:jc w:val="center"/>
        <w:rPr>
          <w:rFonts w:ascii="方正小标宋简体" w:eastAsia="方正小标宋简体" w:hAnsi="方正小标宋简体" w:cs="方正小标宋简体"/>
          <w:kern w:val="0"/>
          <w:sz w:val="52"/>
          <w:szCs w:val="52"/>
        </w:rPr>
      </w:pPr>
    </w:p>
    <w:p w:rsidR="00014D20" w:rsidRDefault="00014D20">
      <w:pPr>
        <w:autoSpaceDE w:val="0"/>
        <w:autoSpaceDN w:val="0"/>
        <w:adjustRightInd w:val="0"/>
        <w:spacing w:line="900" w:lineRule="exact"/>
        <w:jc w:val="center"/>
        <w:rPr>
          <w:rFonts w:ascii="方正小标宋简体" w:eastAsia="方正小标宋简体" w:hAnsi="方正小标宋简体" w:cs="方正小标宋简体"/>
          <w:kern w:val="0"/>
          <w:sz w:val="52"/>
          <w:szCs w:val="52"/>
        </w:rPr>
      </w:pPr>
    </w:p>
    <w:p w:rsidR="00014D20" w:rsidRDefault="00014D20">
      <w:pPr>
        <w:autoSpaceDE w:val="0"/>
        <w:autoSpaceDN w:val="0"/>
        <w:adjustRightInd w:val="0"/>
        <w:spacing w:line="900" w:lineRule="exact"/>
        <w:jc w:val="center"/>
        <w:rPr>
          <w:rFonts w:ascii="方正小标宋简体" w:eastAsia="方正小标宋简体" w:hAnsi="方正小标宋简体" w:cs="方正小标宋简体"/>
          <w:kern w:val="0"/>
          <w:sz w:val="52"/>
          <w:szCs w:val="52"/>
        </w:rPr>
      </w:pPr>
    </w:p>
    <w:p w:rsidR="00014D20" w:rsidRDefault="00FA3AA0">
      <w:pPr>
        <w:autoSpaceDE w:val="0"/>
        <w:autoSpaceDN w:val="0"/>
        <w:adjustRightInd w:val="0"/>
        <w:spacing w:line="900" w:lineRule="exact"/>
        <w:jc w:val="center"/>
        <w:rPr>
          <w:rFonts w:ascii="方正小标宋简体" w:eastAsia="方正小标宋简体" w:hAnsi="方正小标宋简体" w:cs="方正小标宋简体"/>
          <w:kern w:val="0"/>
          <w:sz w:val="52"/>
          <w:szCs w:val="52"/>
        </w:rPr>
      </w:pPr>
      <w:r>
        <w:rPr>
          <w:rFonts w:ascii="方正小标宋简体" w:eastAsia="方正小标宋简体" w:hAnsi="方正小标宋简体" w:cs="方正小标宋简体" w:hint="eastAsia"/>
          <w:kern w:val="0"/>
          <w:sz w:val="52"/>
          <w:szCs w:val="52"/>
        </w:rPr>
        <w:t>2018年度</w:t>
      </w:r>
    </w:p>
    <w:p w:rsidR="00014D20" w:rsidRDefault="00014D20">
      <w:pPr>
        <w:autoSpaceDE w:val="0"/>
        <w:autoSpaceDN w:val="0"/>
        <w:adjustRightInd w:val="0"/>
        <w:spacing w:line="900" w:lineRule="exact"/>
        <w:jc w:val="center"/>
        <w:rPr>
          <w:rFonts w:ascii="方正小标宋简体" w:eastAsia="方正小标宋简体" w:hAnsi="方正小标宋简体" w:cs="方正小标宋简体"/>
          <w:kern w:val="0"/>
          <w:sz w:val="52"/>
          <w:szCs w:val="52"/>
        </w:rPr>
      </w:pPr>
    </w:p>
    <w:p w:rsidR="00014D20" w:rsidRDefault="00014D20">
      <w:pPr>
        <w:autoSpaceDE w:val="0"/>
        <w:autoSpaceDN w:val="0"/>
        <w:adjustRightInd w:val="0"/>
        <w:spacing w:line="620" w:lineRule="exact"/>
        <w:rPr>
          <w:rFonts w:ascii="方正小标宋简体" w:eastAsia="方正小标宋简体" w:hAnsi="方正小标宋简体" w:cs="方正小标宋简体"/>
          <w:kern w:val="0"/>
          <w:sz w:val="44"/>
          <w:szCs w:val="44"/>
        </w:rPr>
        <w:sectPr w:rsidR="00014D20">
          <w:headerReference w:type="even" r:id="rId7"/>
          <w:headerReference w:type="default" r:id="rId8"/>
          <w:footerReference w:type="even" r:id="rId9"/>
          <w:footerReference w:type="default" r:id="rId10"/>
          <w:headerReference w:type="first" r:id="rId11"/>
          <w:footerReference w:type="first" r:id="rId12"/>
          <w:pgSz w:w="11906" w:h="16838"/>
          <w:pgMar w:top="1984" w:right="1474" w:bottom="1701" w:left="1587" w:header="851" w:footer="1134" w:gutter="0"/>
          <w:pgNumType w:fmt="numberInDash"/>
          <w:cols w:space="0"/>
          <w:docGrid w:type="lines" w:linePitch="312"/>
        </w:sectPr>
      </w:pPr>
    </w:p>
    <w:p w:rsidR="00014D20" w:rsidRDefault="00FA3AA0">
      <w:pPr>
        <w:autoSpaceDE w:val="0"/>
        <w:autoSpaceDN w:val="0"/>
        <w:adjustRightInd w:val="0"/>
        <w:spacing w:line="62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lastRenderedPageBreak/>
        <w:t>目  录</w:t>
      </w:r>
    </w:p>
    <w:p w:rsidR="00014D20" w:rsidRDefault="00014D20">
      <w:pPr>
        <w:autoSpaceDE w:val="0"/>
        <w:autoSpaceDN w:val="0"/>
        <w:adjustRightInd w:val="0"/>
        <w:spacing w:line="620" w:lineRule="exact"/>
        <w:jc w:val="center"/>
        <w:rPr>
          <w:rFonts w:ascii="黑体" w:eastAsia="黑体" w:cs="黑体"/>
          <w:kern w:val="0"/>
          <w:sz w:val="32"/>
          <w:szCs w:val="32"/>
        </w:rPr>
      </w:pPr>
    </w:p>
    <w:p w:rsidR="00014D20" w:rsidRDefault="00FA3AA0">
      <w:pPr>
        <w:autoSpaceDE w:val="0"/>
        <w:autoSpaceDN w:val="0"/>
        <w:adjustRightInd w:val="0"/>
        <w:spacing w:line="590" w:lineRule="exact"/>
        <w:ind w:firstLineChars="200" w:firstLine="640"/>
        <w:rPr>
          <w:rFonts w:ascii="黑体" w:eastAsia="黑体" w:cs="黑体"/>
          <w:kern w:val="0"/>
          <w:sz w:val="32"/>
          <w:szCs w:val="32"/>
        </w:rPr>
      </w:pPr>
      <w:r>
        <w:rPr>
          <w:rFonts w:ascii="黑体" w:eastAsia="黑体" w:cs="黑体" w:hint="eastAsia"/>
          <w:kern w:val="0"/>
          <w:sz w:val="32"/>
          <w:szCs w:val="32"/>
        </w:rPr>
        <w:t>第一部分 农业局部门概况</w:t>
      </w:r>
    </w:p>
    <w:p w:rsidR="00014D20" w:rsidRDefault="00FA3AA0">
      <w:pPr>
        <w:autoSpaceDE w:val="0"/>
        <w:autoSpaceDN w:val="0"/>
        <w:adjustRightIn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一、主要职能</w:t>
      </w:r>
    </w:p>
    <w:p w:rsidR="00014D20" w:rsidRDefault="00FA3AA0">
      <w:pPr>
        <w:autoSpaceDE w:val="0"/>
        <w:autoSpaceDN w:val="0"/>
        <w:adjustRightIn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二、部门预算单位构成</w:t>
      </w:r>
    </w:p>
    <w:p w:rsidR="00014D20" w:rsidRDefault="00FA3AA0">
      <w:pPr>
        <w:autoSpaceDE w:val="0"/>
        <w:autoSpaceDN w:val="0"/>
        <w:adjustRightInd w:val="0"/>
        <w:spacing w:line="590" w:lineRule="exact"/>
        <w:ind w:firstLineChars="200" w:firstLine="640"/>
        <w:rPr>
          <w:rFonts w:ascii="黑体" w:eastAsia="黑体" w:cs="黑体"/>
          <w:kern w:val="0"/>
          <w:sz w:val="32"/>
          <w:szCs w:val="32"/>
        </w:rPr>
      </w:pPr>
      <w:r>
        <w:rPr>
          <w:rFonts w:ascii="黑体" w:eastAsia="黑体" w:cs="黑体" w:hint="eastAsia"/>
          <w:kern w:val="0"/>
          <w:sz w:val="32"/>
          <w:szCs w:val="32"/>
        </w:rPr>
        <w:t>第二部分 农业局部门</w:t>
      </w:r>
      <w:r>
        <w:rPr>
          <w:rFonts w:ascii="黑体" w:eastAsia="黑体" w:cs="黑体"/>
          <w:kern w:val="0"/>
          <w:sz w:val="32"/>
          <w:szCs w:val="32"/>
        </w:rPr>
        <w:t xml:space="preserve">2018 </w:t>
      </w:r>
      <w:r>
        <w:rPr>
          <w:rFonts w:ascii="黑体" w:eastAsia="黑体" w:cs="黑体" w:hint="eastAsia"/>
          <w:kern w:val="0"/>
          <w:sz w:val="32"/>
          <w:szCs w:val="32"/>
        </w:rPr>
        <w:t>年部门预算情况说明</w:t>
      </w:r>
    </w:p>
    <w:p w:rsidR="00014D20" w:rsidRDefault="00FA3AA0">
      <w:pPr>
        <w:autoSpaceDE w:val="0"/>
        <w:autoSpaceDN w:val="0"/>
        <w:adjustRightInd w:val="0"/>
        <w:spacing w:line="590" w:lineRule="exact"/>
        <w:ind w:firstLineChars="200" w:firstLine="640"/>
        <w:rPr>
          <w:rFonts w:ascii="黑体" w:eastAsia="黑体" w:cs="黑体"/>
          <w:kern w:val="0"/>
          <w:sz w:val="32"/>
          <w:szCs w:val="32"/>
        </w:rPr>
      </w:pPr>
      <w:r>
        <w:rPr>
          <w:rFonts w:ascii="黑体" w:eastAsia="黑体" w:cs="黑体" w:hint="eastAsia"/>
          <w:kern w:val="0"/>
          <w:sz w:val="32"/>
          <w:szCs w:val="32"/>
        </w:rPr>
        <w:t>第三部分 名词解释</w:t>
      </w:r>
    </w:p>
    <w:p w:rsidR="00014D20" w:rsidRDefault="00FA3AA0">
      <w:pPr>
        <w:autoSpaceDE w:val="0"/>
        <w:autoSpaceDN w:val="0"/>
        <w:adjustRightIn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附件：农业局部门2018 年部门预算公开报表</w:t>
      </w:r>
    </w:p>
    <w:p w:rsidR="00014D20" w:rsidRDefault="00FA3AA0">
      <w:pPr>
        <w:autoSpaceDE w:val="0"/>
        <w:autoSpaceDN w:val="0"/>
        <w:adjustRightIn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一、2018 年部门收支总体情况表</w:t>
      </w:r>
    </w:p>
    <w:p w:rsidR="00014D20" w:rsidRDefault="00FA3AA0">
      <w:pPr>
        <w:autoSpaceDE w:val="0"/>
        <w:autoSpaceDN w:val="0"/>
        <w:adjustRightIn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二、2018 年部门收入总体情况表</w:t>
      </w:r>
    </w:p>
    <w:p w:rsidR="00014D20" w:rsidRDefault="00FA3AA0">
      <w:pPr>
        <w:autoSpaceDE w:val="0"/>
        <w:autoSpaceDN w:val="0"/>
        <w:adjustRightIn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三、2018 年部门支出总体情况表</w:t>
      </w:r>
    </w:p>
    <w:p w:rsidR="00014D20" w:rsidRDefault="00FA3AA0">
      <w:pPr>
        <w:autoSpaceDE w:val="0"/>
        <w:autoSpaceDN w:val="0"/>
        <w:adjustRightIn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四、2018 年一般公共预算支出情况表</w:t>
      </w:r>
    </w:p>
    <w:p w:rsidR="00014D20" w:rsidRDefault="00FA3AA0">
      <w:pPr>
        <w:autoSpaceDE w:val="0"/>
        <w:autoSpaceDN w:val="0"/>
        <w:adjustRightInd w:val="0"/>
        <w:spacing w:line="59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五、2018 年财政拨款收支总体情况表</w:t>
      </w:r>
    </w:p>
    <w:p w:rsidR="00014D20" w:rsidRDefault="00FA3AA0">
      <w:pPr>
        <w:autoSpaceDE w:val="0"/>
        <w:autoSpaceDN w:val="0"/>
        <w:adjustRightIn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六、2018年支出经济分类汇总表</w:t>
      </w:r>
    </w:p>
    <w:p w:rsidR="00014D20" w:rsidRDefault="00FA3AA0">
      <w:pPr>
        <w:autoSpaceDE w:val="0"/>
        <w:autoSpaceDN w:val="0"/>
        <w:adjustRightIn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七、2018 年一般公共预算基本支出情况表</w:t>
      </w:r>
    </w:p>
    <w:p w:rsidR="00014D20" w:rsidRDefault="00FA3AA0">
      <w:pPr>
        <w:autoSpaceDE w:val="0"/>
        <w:autoSpaceDN w:val="0"/>
        <w:adjustRightIn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八、2018 年政府性基金预算支出情况表</w:t>
      </w:r>
    </w:p>
    <w:p w:rsidR="00014D20" w:rsidRDefault="00FA3AA0">
      <w:pPr>
        <w:autoSpaceDE w:val="0"/>
        <w:autoSpaceDN w:val="0"/>
        <w:adjustRightInd w:val="0"/>
        <w:spacing w:line="59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九、2018 年一般公共预算“三公”经费支出情况表</w:t>
      </w:r>
    </w:p>
    <w:p w:rsidR="00014D20" w:rsidRDefault="00014D20">
      <w:pPr>
        <w:autoSpaceDE w:val="0"/>
        <w:autoSpaceDN w:val="0"/>
        <w:adjustRightInd w:val="0"/>
        <w:spacing w:line="590" w:lineRule="exact"/>
        <w:jc w:val="center"/>
        <w:rPr>
          <w:rFonts w:ascii="黑体" w:eastAsia="黑体" w:hAnsi="黑体" w:cs="黑体"/>
          <w:kern w:val="0"/>
          <w:sz w:val="32"/>
          <w:szCs w:val="32"/>
        </w:rPr>
      </w:pPr>
    </w:p>
    <w:p w:rsidR="00014D20" w:rsidRDefault="00014D20">
      <w:pPr>
        <w:autoSpaceDE w:val="0"/>
        <w:autoSpaceDN w:val="0"/>
        <w:adjustRightInd w:val="0"/>
        <w:spacing w:line="590" w:lineRule="exact"/>
        <w:jc w:val="center"/>
        <w:rPr>
          <w:rFonts w:ascii="黑体" w:eastAsia="黑体" w:hAnsi="黑体" w:cs="黑体"/>
          <w:kern w:val="0"/>
          <w:sz w:val="32"/>
          <w:szCs w:val="32"/>
        </w:rPr>
      </w:pPr>
    </w:p>
    <w:p w:rsidR="00014D20" w:rsidRDefault="00014D20">
      <w:pPr>
        <w:autoSpaceDE w:val="0"/>
        <w:autoSpaceDN w:val="0"/>
        <w:adjustRightInd w:val="0"/>
        <w:spacing w:line="590" w:lineRule="exact"/>
        <w:jc w:val="center"/>
        <w:rPr>
          <w:rFonts w:ascii="黑体" w:eastAsia="黑体" w:hAnsi="黑体" w:cs="黑体"/>
          <w:kern w:val="0"/>
          <w:sz w:val="32"/>
          <w:szCs w:val="32"/>
        </w:rPr>
      </w:pPr>
    </w:p>
    <w:p w:rsidR="00014D20" w:rsidRDefault="00014D20">
      <w:pPr>
        <w:autoSpaceDE w:val="0"/>
        <w:autoSpaceDN w:val="0"/>
        <w:adjustRightInd w:val="0"/>
        <w:spacing w:line="590" w:lineRule="exact"/>
        <w:jc w:val="center"/>
        <w:rPr>
          <w:rFonts w:ascii="黑体" w:eastAsia="黑体" w:hAnsi="黑体" w:cs="黑体"/>
          <w:kern w:val="0"/>
          <w:sz w:val="32"/>
          <w:szCs w:val="32"/>
        </w:rPr>
      </w:pPr>
    </w:p>
    <w:p w:rsidR="00014D20" w:rsidRDefault="00014D20">
      <w:pPr>
        <w:autoSpaceDE w:val="0"/>
        <w:autoSpaceDN w:val="0"/>
        <w:adjustRightInd w:val="0"/>
        <w:spacing w:line="590" w:lineRule="exact"/>
        <w:jc w:val="center"/>
        <w:rPr>
          <w:rFonts w:ascii="黑体" w:eastAsia="黑体" w:hAnsi="黑体" w:cs="黑体"/>
          <w:kern w:val="0"/>
          <w:sz w:val="32"/>
          <w:szCs w:val="32"/>
        </w:rPr>
        <w:sectPr w:rsidR="00014D20">
          <w:footerReference w:type="default" r:id="rId13"/>
          <w:pgSz w:w="11906" w:h="16838"/>
          <w:pgMar w:top="1984" w:right="1474" w:bottom="1701" w:left="1587" w:header="851" w:footer="1134" w:gutter="0"/>
          <w:pgNumType w:fmt="numberInDash" w:start="1"/>
          <w:cols w:space="0"/>
          <w:docGrid w:type="lines" w:linePitch="312"/>
        </w:sectPr>
      </w:pPr>
    </w:p>
    <w:p w:rsidR="00014D20" w:rsidRDefault="00FA3AA0">
      <w:pPr>
        <w:autoSpaceDE w:val="0"/>
        <w:autoSpaceDN w:val="0"/>
        <w:adjustRightInd w:val="0"/>
        <w:spacing w:line="590" w:lineRule="exact"/>
        <w:jc w:val="center"/>
        <w:rPr>
          <w:rFonts w:ascii="黑体" w:eastAsia="黑体" w:hAnsi="黑体" w:cs="黑体"/>
          <w:kern w:val="0"/>
          <w:sz w:val="32"/>
          <w:szCs w:val="32"/>
        </w:rPr>
      </w:pPr>
      <w:r>
        <w:rPr>
          <w:rFonts w:ascii="黑体" w:eastAsia="黑体" w:hAnsi="黑体" w:cs="黑体" w:hint="eastAsia"/>
          <w:kern w:val="0"/>
          <w:sz w:val="32"/>
          <w:szCs w:val="32"/>
        </w:rPr>
        <w:lastRenderedPageBreak/>
        <w:t>第一部分</w:t>
      </w:r>
    </w:p>
    <w:p w:rsidR="00014D20" w:rsidRDefault="00FA3AA0">
      <w:pPr>
        <w:autoSpaceDE w:val="0"/>
        <w:autoSpaceDN w:val="0"/>
        <w:adjustRightInd w:val="0"/>
        <w:spacing w:line="590" w:lineRule="exact"/>
        <w:jc w:val="center"/>
        <w:rPr>
          <w:rFonts w:ascii="黑体" w:eastAsia="黑体" w:hAnsi="黑体" w:cs="黑体"/>
          <w:kern w:val="0"/>
          <w:sz w:val="32"/>
          <w:szCs w:val="32"/>
        </w:rPr>
      </w:pPr>
      <w:r>
        <w:rPr>
          <w:rFonts w:ascii="黑体" w:eastAsia="黑体" w:hAnsi="黑体" w:cs="黑体" w:hint="eastAsia"/>
          <w:kern w:val="0"/>
          <w:sz w:val="32"/>
          <w:szCs w:val="32"/>
        </w:rPr>
        <w:t>农业局部门概况</w:t>
      </w:r>
    </w:p>
    <w:p w:rsidR="00014D20" w:rsidRDefault="00FA3AA0">
      <w:pPr>
        <w:autoSpaceDE w:val="0"/>
        <w:autoSpaceDN w:val="0"/>
        <w:adjustRightInd w:val="0"/>
        <w:spacing w:line="590" w:lineRule="exact"/>
        <w:ind w:firstLineChars="200" w:firstLine="640"/>
        <w:rPr>
          <w:rFonts w:ascii="黑体" w:eastAsia="黑体" w:cs="黑体"/>
          <w:kern w:val="0"/>
          <w:sz w:val="32"/>
          <w:szCs w:val="32"/>
        </w:rPr>
      </w:pPr>
      <w:r>
        <w:rPr>
          <w:rFonts w:ascii="黑体" w:eastAsia="黑体" w:cs="黑体" w:hint="eastAsia"/>
          <w:kern w:val="0"/>
          <w:sz w:val="32"/>
          <w:szCs w:val="32"/>
        </w:rPr>
        <w:t>一、主要职能</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（一）机构设置情况</w:t>
      </w:r>
    </w:p>
    <w:p w:rsidR="00014D20" w:rsidRDefault="00FA3AA0">
      <w:pPr>
        <w:widowControl/>
        <w:shd w:val="clear" w:color="auto" w:fill="FFFFFF"/>
        <w:spacing w:after="225" w:line="360" w:lineRule="atLeast"/>
        <w:ind w:firstLineChars="200" w:firstLine="640"/>
        <w:jc w:val="left"/>
        <w:rPr>
          <w:rFonts w:asciiTheme="minorEastAsia" w:eastAsiaTheme="minorEastAsia" w:hAnsiTheme="minorEastAsia" w:cs="仿宋"/>
          <w:kern w:val="0"/>
          <w:sz w:val="30"/>
          <w:szCs w:val="30"/>
        </w:rPr>
      </w:pPr>
      <w:r>
        <w:rPr>
          <w:rFonts w:asciiTheme="minorEastAsia" w:eastAsiaTheme="minorEastAsia" w:hAnsiTheme="minorEastAsia" w:cstheme="minorEastAsia" w:hint="eastAsia"/>
          <w:kern w:val="0"/>
          <w:sz w:val="32"/>
          <w:szCs w:val="32"/>
        </w:rPr>
        <w:t>农业局是主管全县农业工作的主管部门，机构规格为科级，现有编制 234个。其中行政编制 20个，事业编制 214 个，在职人员 224人，离退休人员 4人，内设科室 6 个，</w:t>
      </w:r>
      <w:r>
        <w:rPr>
          <w:rFonts w:asciiTheme="minorEastAsia" w:eastAsiaTheme="minorEastAsia" w:hAnsiTheme="minorEastAsia" w:cs="仿宋" w:hint="eastAsia"/>
          <w:kern w:val="0"/>
          <w:sz w:val="30"/>
          <w:szCs w:val="30"/>
        </w:rPr>
        <w:t>分别是：办公室、人事股、财务股、农民负担监督管理办公室、发展计划股、科技教育股</w:t>
      </w:r>
      <w:r>
        <w:rPr>
          <w:rFonts w:asciiTheme="minorEastAsia" w:eastAsiaTheme="minorEastAsia" w:hAnsiTheme="minorEastAsia" w:cstheme="minorEastAsia" w:hint="eastAsia"/>
          <w:kern w:val="0"/>
          <w:sz w:val="32"/>
          <w:szCs w:val="32"/>
        </w:rPr>
        <w:t>，所属事业单位  14 个，</w:t>
      </w:r>
      <w:r>
        <w:rPr>
          <w:rFonts w:asciiTheme="minorEastAsia" w:eastAsiaTheme="minorEastAsia" w:hAnsiTheme="minorEastAsia" w:cs="仿宋" w:hint="eastAsia"/>
          <w:kern w:val="0"/>
          <w:sz w:val="30"/>
          <w:szCs w:val="30"/>
        </w:rPr>
        <w:t>具体为：鹿邑县农业技术推广站、鹿邑县植保植检站、鹿邑县农作物病虫测报站、鹿邑县土壤肥料工作站、鹿邑县经济作物管理站、河南省农业广播电视学校鹿邑分校、鹿邑县农村合作经济经营管理站、鹿邑县农业综合执法队、鹿邑县农产品质量安全检测站、鹿邑县种子技术推广服务站、鹿邑县种子管理站、鹿邑县农药监督管理站、鹿邑县渔政渔船检验监督管理站、鹿邑县农业科学研究所等。</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（二）部门职责</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仿宋_GB2312" w:eastAsia="仿宋_GB2312" w:hAnsi="仿宋_GB2312" w:cs="仿宋_GB2312" w:hint="eastAsia"/>
          <w:kern w:val="0"/>
          <w:sz w:val="32"/>
          <w:szCs w:val="32"/>
        </w:rPr>
        <w:t xml:space="preserve"> </w:t>
      </w:r>
      <w:r>
        <w:rPr>
          <w:rFonts w:ascii="宋体" w:hAnsi="宋体" w:cs="宋体" w:hint="eastAsia"/>
          <w:kern w:val="0"/>
          <w:sz w:val="30"/>
          <w:szCs w:val="30"/>
        </w:rPr>
        <w:t>1、</w:t>
      </w:r>
      <w:r>
        <w:rPr>
          <w:rFonts w:ascii="宋体" w:hAnsi="宋体" w:cs="宋体" w:hint="eastAsia"/>
          <w:color w:val="333333"/>
          <w:kern w:val="0"/>
          <w:sz w:val="30"/>
          <w:szCs w:val="30"/>
          <w:shd w:val="clear" w:color="auto" w:fill="FFFFFF"/>
        </w:rPr>
        <w:t>拟定全县</w:t>
      </w:r>
      <w:hyperlink r:id="rId14" w:tgtFrame="http://baike.baidu.com/_blank" w:history="1">
        <w:r>
          <w:rPr>
            <w:rStyle w:val="a5"/>
            <w:rFonts w:ascii="宋体" w:hAnsi="宋体" w:cs="宋体" w:hint="eastAsia"/>
            <w:color w:val="136EC2"/>
            <w:sz w:val="30"/>
            <w:szCs w:val="30"/>
            <w:u w:val="none"/>
            <w:shd w:val="clear" w:color="auto" w:fill="FFFFFF"/>
          </w:rPr>
          <w:t>农业</w:t>
        </w:r>
      </w:hyperlink>
      <w:r>
        <w:rPr>
          <w:rFonts w:ascii="宋体" w:hAnsi="宋体" w:cs="宋体" w:hint="eastAsia"/>
          <w:color w:val="333333"/>
          <w:kern w:val="0"/>
          <w:sz w:val="30"/>
          <w:szCs w:val="30"/>
          <w:shd w:val="clear" w:color="auto" w:fill="FFFFFF"/>
        </w:rPr>
        <w:t>中长期发展规划并组织实施。</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t>2、拟定全县农业产业政策，引导农业产业结构合理调整、农业资源的合理配置和产品品质的改善；起草全县农业规范性政策、规章、</w:t>
      </w:r>
      <w:r>
        <w:rPr>
          <w:rFonts w:ascii="宋体" w:hAnsi="宋体" w:cs="宋体" w:hint="eastAsia"/>
          <w:color w:val="333333"/>
          <w:kern w:val="0"/>
          <w:sz w:val="30"/>
          <w:szCs w:val="30"/>
          <w:shd w:val="clear" w:color="auto" w:fill="FFFFFF"/>
        </w:rPr>
        <w:lastRenderedPageBreak/>
        <w:t>办法、议案；指导全县农业法制体系建设；提出全县农村信贷和农业财政补贴的政策建议。</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t>3、承担完善全县农村经营管理体制的责任；提出稳定完善农村基本经营制度的政策建议；指导农村土地承包，耕地使用权流转和承包纠纷仲裁管理；指导、监督减轻农民负担和村级筹资筹劳管理工作；承担各项涉农收费的监督管理工作；监督各项惠农补贴政策的落实；指导农村集体资产和财务管理；指导和扶持农业社会化服务体系、农村合作经济组织、农民专业合作社和农产品行业协会的建设与发展。</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t>4、指导全县粮食等主要农产品生产，组织落实促进粮食等主要农产品生产发展的相关政策措施；引导农业产业结构调整和产品品质的改善；会同有关部门指导农业标准化、规模化生产；指导全县农业部门信息系统建设；提出主要农产品、重要农业生产资料的调进、调出意见和建议。</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t>5、拟订全县农业科技、教育、农技推广的规划、计划和有关政策并组织实施；会同有关部门组织全县农业科技创新体系和农业产业技术体系建设，实施科教兴农战略；组织实施农业区域的高新技术和应用技术研究、农业科技成果转化和技术推广；指导农技推广体系建设；负责农业植物新品种保护。</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lastRenderedPageBreak/>
        <w:t>6、组织协调全县农业生产资料市场体系建设；依法开展对农作物种子（种苗）、农药的许可及监督管理；依法负责对渔船、渔机、网具的监督管理；会同有关部门处理渔事纠纷，行使渔船检验和渔政监督管理权。组织协调种子、农药、化肥等农业投入品的质量的监测、鉴定和执法监督管理；组织国产及进口种子、农药、有关肥料等产品的登记。</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t>7、负责全县农作物重大病虫害防治；指导植物防疫体系建设。发布疫情并组织扑灭；组织植物检疫性有害生物普查。</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t>8、开展相关农业统计，发布农业和农村经济信息，指导农业信息服务工作。</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t>9、会同有关部门拟订全县农业农村人才队伍建设规划病组织实施，指导农业教育和农业职业技能开发工作，参与实施农村实用人才培训工程。承担农村劳动力转移就业培训工作，会同有关部门依法实施农业农村人才专业技术资格和从业资格管理。</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t>10、组织全县农业资源区划工作；指导农用地、渔业区域、宜农滩涂、宜农湿地以及农业生物物种资源的保护和管理，负责水生野生动物保护工作。</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t>11、承担政府间农业涉外事务；组织全县农业对外经济、技术交流和合作。</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lastRenderedPageBreak/>
        <w:t>12、按照有关规定管理局机关和直属事业单位的人事、劳动工资、机构编制工作；指导有关社会团体为农业生产服务，负责全县农业情况综合和有关业务的协调。</w:t>
      </w:r>
    </w:p>
    <w:p w:rsidR="00014D20" w:rsidRDefault="00FA3AA0">
      <w:pPr>
        <w:widowControl/>
        <w:shd w:val="clear" w:color="auto" w:fill="FFFFFF"/>
        <w:spacing w:after="225" w:line="360" w:lineRule="atLeast"/>
        <w:ind w:firstLine="420"/>
        <w:jc w:val="left"/>
        <w:rPr>
          <w:rFonts w:ascii="宋体" w:hAnsi="宋体" w:cs="宋体"/>
          <w:color w:val="333333"/>
          <w:kern w:val="0"/>
          <w:sz w:val="30"/>
          <w:szCs w:val="30"/>
          <w:shd w:val="clear" w:color="auto" w:fill="FFFFFF"/>
        </w:rPr>
      </w:pPr>
      <w:r>
        <w:rPr>
          <w:rFonts w:ascii="宋体" w:hAnsi="宋体" w:cs="宋体" w:hint="eastAsia"/>
          <w:color w:val="333333"/>
          <w:kern w:val="0"/>
          <w:sz w:val="30"/>
          <w:szCs w:val="30"/>
          <w:shd w:val="clear" w:color="auto" w:fill="FFFFFF"/>
        </w:rPr>
        <w:t>13、承办县政府交办的其它事项。</w:t>
      </w:r>
    </w:p>
    <w:p w:rsidR="00014D20" w:rsidRDefault="00FA3AA0">
      <w:pPr>
        <w:autoSpaceDE w:val="0"/>
        <w:autoSpaceDN w:val="0"/>
        <w:adjustRightInd w:val="0"/>
        <w:spacing w:line="590" w:lineRule="exact"/>
        <w:ind w:firstLineChars="200" w:firstLine="640"/>
        <w:rPr>
          <w:rFonts w:ascii="黑体" w:eastAsia="黑体" w:cs="黑体"/>
          <w:kern w:val="0"/>
          <w:sz w:val="32"/>
          <w:szCs w:val="32"/>
        </w:rPr>
      </w:pPr>
      <w:r>
        <w:rPr>
          <w:rFonts w:ascii="黑体" w:eastAsia="黑体" w:cs="黑体" w:hint="eastAsia"/>
          <w:kern w:val="0"/>
          <w:sz w:val="32"/>
          <w:szCs w:val="32"/>
        </w:rPr>
        <w:t>二、部门预算单位构成</w:t>
      </w:r>
    </w:p>
    <w:p w:rsidR="00014D20" w:rsidRDefault="00FA3AA0">
      <w:pPr>
        <w:widowControl/>
        <w:shd w:val="clear" w:color="auto" w:fill="FFFFFF"/>
        <w:spacing w:after="225" w:line="360" w:lineRule="atLeast"/>
        <w:ind w:firstLineChars="200" w:firstLine="600"/>
        <w:jc w:val="left"/>
        <w:rPr>
          <w:rFonts w:asciiTheme="minorEastAsia" w:eastAsiaTheme="minorEastAsia" w:hAnsiTheme="minorEastAsia" w:cs="仿宋"/>
          <w:kern w:val="0"/>
          <w:sz w:val="30"/>
          <w:szCs w:val="30"/>
        </w:rPr>
      </w:pPr>
      <w:r>
        <w:rPr>
          <w:rFonts w:asciiTheme="minorEastAsia" w:eastAsiaTheme="minorEastAsia" w:hAnsiTheme="minorEastAsia" w:cs="仿宋" w:hint="eastAsia"/>
          <w:kern w:val="0"/>
          <w:sz w:val="30"/>
          <w:szCs w:val="30"/>
        </w:rPr>
        <w:t>农业局为一级汇总预算单位，,部门预算由14个二级预算单位组成。具体为：鹿邑县农业技术推广站、鹿邑县植保植检站、鹿邑县农作物病虫测报站、鹿邑县土壤肥料工作站、鹿邑县经济作物管理站、河南省农业广播电视学校鹿邑分校、鹿邑县农村合作经济经营管理站、鹿邑县农业综合执法队、鹿邑县农产品质量安全检测站、鹿邑县种子技术推广服务站、鹿邑县种子管理站、鹿邑县农药监督管理站、鹿邑县渔政渔船检验监督管理站、鹿邑县农业科学研究所等。</w:t>
      </w:r>
    </w:p>
    <w:p w:rsidR="00014D20" w:rsidRDefault="00FA3AA0">
      <w:pPr>
        <w:autoSpaceDE w:val="0"/>
        <w:autoSpaceDN w:val="0"/>
        <w:adjustRightInd w:val="0"/>
        <w:spacing w:line="590" w:lineRule="exact"/>
        <w:jc w:val="center"/>
        <w:rPr>
          <w:rFonts w:ascii="黑体" w:eastAsia="黑体" w:hAnsi="黑体" w:cs="黑体"/>
          <w:bCs/>
          <w:kern w:val="0"/>
          <w:sz w:val="32"/>
          <w:szCs w:val="32"/>
        </w:rPr>
      </w:pPr>
      <w:r>
        <w:rPr>
          <w:rFonts w:ascii="黑体" w:eastAsia="黑体" w:hAnsi="黑体" w:cs="黑体" w:hint="eastAsia"/>
          <w:bCs/>
          <w:kern w:val="0"/>
          <w:sz w:val="32"/>
          <w:szCs w:val="32"/>
        </w:rPr>
        <w:t>第二部分</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农业局2018 年部门预算情况说明</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一、收入支出预算总体情况说明</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农业局2018年预算收入总计 16160.2297万元，支出总计    16160.2297万元，与2017年预算相比，收、支总计各减少255.5323 万元，减少1.56%。减少主要原因：人员减少和上级追加转移支付项目减少等</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lastRenderedPageBreak/>
        <w:t>二、收入预算总体情况说明</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农业局2018年预算收入合计16160.2297万元，其中：一般公共预算收入（含上级追加转移支付）16160.2297万元；政府性基金预算收入（含上级追加转移支付）  0 万元；其他收入 0  万元。</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三、支出预算总体情况说明</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农业局2018年支出预算合计16160.22597万元，其中：基本支出1797.6647万元，占11.1%；项目支出14362.565万元，占   88.9%。</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四、财政拨款收入支出预算总体情况说明</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农业局2018 年一般公共预算收支预算2017.9247万元，政府性基金收支预算 0 万元。与2017 年相比，一般公共预算收支预算减少340.7323万元，减少14.3%，主要原因：一、2018年，因土地确权项目接近完成，项目减少290.5321万元；二、人员调出及死亡减少50.2002 万元。</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五、一般公共预算支出预算情况说明</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农业局2018年一般公共预算支出年初预算16160.2297万元（含上级转移支付（一般公共预算）14134.2万元）。主要用于以下方面：社会保障和就业（类）支出  1746.369 万元，占 10.8 %；农林水（类）支出14134.2万元，占 87.4 %；住房保障（类）支出  51.2957 万元，占0.3 %。</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六、支出预算经济分类情况说明</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lastRenderedPageBreak/>
        <w:t>农业局2018年预算支出16160.2297万元，其中：人员经费   1797.6647万元，主要包括：基本工资、津贴补贴、奖金、绩效工资、机关事业单位基本养老保险缴费、职工基本医疗保险缴费、其他社会保障缴费、住房公积金、其他工资福利支出、退休费、生活补助等；公用经费 73.72 万元，主要包括：办公费、印刷费、手续费、水费、电费、邮电费、差旅费、维修（护）费、租赁费、培训费、公务接待费、劳务费、福利费、委托业务费、公务用车运行维护费、其他交通费用、其他商品和服务支出等；项目经费14288.845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bCs/>
          <w:kern w:val="0"/>
          <w:sz w:val="32"/>
          <w:szCs w:val="32"/>
        </w:rPr>
      </w:pPr>
      <w:r>
        <w:rPr>
          <w:rFonts w:asciiTheme="minorEastAsia" w:eastAsiaTheme="minorEastAsia" w:hAnsiTheme="minorEastAsia" w:cstheme="minorEastAsia" w:hint="eastAsia"/>
          <w:bCs/>
          <w:kern w:val="0"/>
          <w:sz w:val="32"/>
          <w:szCs w:val="32"/>
        </w:rPr>
        <w:t>七、一般公共预算基本支出预算情况说明</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农业局2018年支出合计1797.6647万元，其中工资福利性支出1712.6490万元，占 95 %；商品和服务支出 33.72万元，占1.85%，对个人和家庭补助支出  51.2957  万元，占  2.85 %。比2017年减少122万元。主要原因：人员减少等因素。</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bCs/>
          <w:kern w:val="0"/>
          <w:sz w:val="32"/>
          <w:szCs w:val="32"/>
        </w:rPr>
      </w:pPr>
      <w:r>
        <w:rPr>
          <w:rFonts w:asciiTheme="minorEastAsia" w:eastAsiaTheme="minorEastAsia" w:hAnsiTheme="minorEastAsia" w:cstheme="minorEastAsia" w:hint="eastAsia"/>
          <w:bCs/>
          <w:kern w:val="0"/>
          <w:sz w:val="32"/>
          <w:szCs w:val="32"/>
        </w:rPr>
        <w:t>八、政府性基金预算支出预算情况说明</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农业局2018年政府性基金预算支出 0万元（含上级转移支付（政府性基金）0万元），我单位无政府性基金预算支出。</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bCs/>
          <w:kern w:val="0"/>
          <w:sz w:val="32"/>
          <w:szCs w:val="32"/>
        </w:rPr>
      </w:pPr>
      <w:r>
        <w:rPr>
          <w:rFonts w:asciiTheme="minorEastAsia" w:eastAsiaTheme="minorEastAsia" w:hAnsiTheme="minorEastAsia" w:cstheme="minorEastAsia" w:hint="eastAsia"/>
          <w:bCs/>
          <w:kern w:val="0"/>
          <w:sz w:val="32"/>
          <w:szCs w:val="32"/>
        </w:rPr>
        <w:lastRenderedPageBreak/>
        <w:t>九、“三公”经费支出预算情况说明</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农业局2018 年“三公”经费支出预算数为4.92万元，与2017年持平，增减 0 %。减少因素：1.主要是我单位执行中央八项规定，树立过紧日子思想的结果。</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具体支出情况如下：</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（一）因公出国（境）费 0 万元，</w:t>
      </w:r>
      <w:r>
        <w:rPr>
          <w:rFonts w:ascii="仿宋_GB2312" w:eastAsia="仿宋_GB2312" w:hAnsi="仿宋_GB2312" w:cs="仿宋_GB2312" w:hint="eastAsia"/>
          <w:sz w:val="32"/>
          <w:szCs w:val="32"/>
        </w:rPr>
        <w:t>全年安排局机关、单位因公出国（境）团组0个，累计0人次.</w:t>
      </w:r>
      <w:r>
        <w:rPr>
          <w:rFonts w:asciiTheme="minorEastAsia" w:eastAsiaTheme="minorEastAsia" w:hAnsiTheme="minorEastAsia" w:cstheme="minorEastAsia" w:hint="eastAsia"/>
          <w:kern w:val="0"/>
          <w:sz w:val="32"/>
          <w:szCs w:val="32"/>
        </w:rPr>
        <w:t>与去年增减0%，主要原因，我单位无因公出国（境）费。</w:t>
      </w:r>
    </w:p>
    <w:p w:rsidR="00014D20" w:rsidRDefault="00FA3AA0">
      <w:pPr>
        <w:widowControl/>
        <w:spacing w:line="590" w:lineRule="exact"/>
        <w:ind w:firstLineChars="200" w:firstLine="640"/>
        <w:rPr>
          <w:rFonts w:ascii="仿宋_GB2312" w:eastAsia="仿宋_GB2312" w:hAnsi="仿宋_GB2312" w:cs="仿宋_GB2312"/>
          <w:sz w:val="32"/>
          <w:szCs w:val="32"/>
        </w:rPr>
      </w:pPr>
      <w:r>
        <w:rPr>
          <w:rFonts w:asciiTheme="minorEastAsia" w:eastAsiaTheme="minorEastAsia" w:hAnsiTheme="minorEastAsia" w:cstheme="minorEastAsia" w:hint="eastAsia"/>
          <w:kern w:val="0"/>
          <w:sz w:val="32"/>
          <w:szCs w:val="32"/>
        </w:rPr>
        <w:t>（二）公务用车购置及运行费4万元，其中:</w:t>
      </w:r>
      <w:r>
        <w:rPr>
          <w:rFonts w:ascii="仿宋_GB2312" w:eastAsia="仿宋_GB2312" w:hAnsi="仿宋_GB2312" w:cs="仿宋_GB2312" w:hint="eastAsia"/>
          <w:sz w:val="32"/>
          <w:szCs w:val="32"/>
        </w:rPr>
        <w:t>公务用车购置支出为0万元，购置车辆0台，其中执法执勤车0辆，一般公务用车0辆。</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公务用车运行维护费4万元，主要用于车辆下乡燃油费、过路费、保险费等，比2017增减0万元，较上年增减0%。主要原因：本着厉行节约的原则，严格控制车辆支出。</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（三）公务接待费 0.92 万元，主要用于上级检查、督导、兄弟城市之间的学习交流等，比2017增减0万元，较上年增减0%。主要原因是执行中央八项规定，强化公务接待费管理等。</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bCs/>
          <w:kern w:val="0"/>
          <w:sz w:val="32"/>
          <w:szCs w:val="32"/>
        </w:rPr>
      </w:pPr>
      <w:r>
        <w:rPr>
          <w:rFonts w:asciiTheme="minorEastAsia" w:eastAsiaTheme="minorEastAsia" w:hAnsiTheme="minorEastAsia" w:cstheme="minorEastAsia" w:hint="eastAsia"/>
          <w:bCs/>
          <w:kern w:val="0"/>
          <w:sz w:val="32"/>
          <w:szCs w:val="32"/>
        </w:rPr>
        <w:t>十、其他重要事项的情况说明</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（一）机关运行经费支出情况</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 xml:space="preserve"> 农业局2018年机关运行经费支出预算 73.72万元，主要保障机关人员正常运转及正常履职需要。比2017 年增加  3.32 万元，较上年增加4.5 %。增加主要原因：业务量增加，各项支出</w:t>
      </w:r>
      <w:r>
        <w:rPr>
          <w:rFonts w:asciiTheme="minorEastAsia" w:eastAsiaTheme="minorEastAsia" w:hAnsiTheme="minorEastAsia" w:cstheme="minorEastAsia" w:hint="eastAsia"/>
          <w:kern w:val="0"/>
          <w:sz w:val="32"/>
          <w:szCs w:val="32"/>
        </w:rPr>
        <w:lastRenderedPageBreak/>
        <w:t>增加</w:t>
      </w:r>
      <w:bookmarkStart w:id="0" w:name="_GoBack"/>
      <w:bookmarkEnd w:id="0"/>
      <w:r>
        <w:rPr>
          <w:rFonts w:asciiTheme="minorEastAsia" w:eastAsiaTheme="minorEastAsia" w:hAnsiTheme="minorEastAsia" w:cstheme="minorEastAsia" w:hint="eastAsia"/>
          <w:kern w:val="0"/>
          <w:sz w:val="32"/>
          <w:szCs w:val="32"/>
        </w:rPr>
        <w:t>。</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（二）政府采购支出情况</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2018 年政府采购预算安排0万元，其中：政府采购货物预算0万元。</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（三）关于预算绩效管理工作开展情况说明</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2017 年，我单位共组织对土地确权项目、基层农技推广等项目进行预算绩效评价，涉及资金  450 万元。2018 年，我单位拟对农业病虫害防治项目、绿色高产创建项目、产油大县奖励等3个项目进行预算绩效评价，涉及资金约  698 万元。</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（四）国有资产占用情况</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2017 年期末，农业局共有车辆 3 辆，其中：一般公务用车   0辆，执法执勤车3辆，其他用车0辆；单价 50万元以上通用设备   0台，办公用房  2830 平房米，业务用房  1082 平方米。</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（五）专项转移支付项目情况</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 xml:space="preserve"> 农业局负责管理的专项转移支付项目共有  3 项，1、农业支持保护补贴；2、渔业油价补贴；3、病虫害控制及农垦土地确权。我单位将按照《预算法》等有关规定，积极做好项目分配前期准备工作，在规定的时间内向财政部门提出资金分配意见，根据有关要求做好项目申报公开等相关工作。</w:t>
      </w:r>
    </w:p>
    <w:p w:rsidR="00014D20" w:rsidRDefault="00FA3AA0">
      <w:pPr>
        <w:autoSpaceDE w:val="0"/>
        <w:autoSpaceDN w:val="0"/>
        <w:adjustRightInd w:val="0"/>
        <w:spacing w:line="590" w:lineRule="exact"/>
        <w:jc w:val="center"/>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第三部分</w:t>
      </w:r>
    </w:p>
    <w:p w:rsidR="00014D20" w:rsidRDefault="00FA3AA0">
      <w:pPr>
        <w:autoSpaceDE w:val="0"/>
        <w:autoSpaceDN w:val="0"/>
        <w:adjustRightInd w:val="0"/>
        <w:spacing w:line="590" w:lineRule="exact"/>
        <w:jc w:val="center"/>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名词解释</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一、财政拨款收入：是指县级财政当年拨付的资金。</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lastRenderedPageBreak/>
        <w:t>二、事业收入：是指事业单位开展专业活动及辅助活动所取得的收入。</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三、经营收入：是指事业单位在专业活动及其辅助活动之外开展的非独立核算经营活动取得的收入。</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四、其他收入：是指部门取得的除“财政拨款”、“事业收入”、“事业单位经营收入”等以外的收入。</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六、基本支出：是指为保障机构正常运转、完成日常工作任务所必需的开支，其内容包括人员经费和日常公用经费两部分。</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七、项目支出：是指在基本支出之外，为完成特定的行政工作任务或事业发展目标所发生的支出。</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lastRenderedPageBreak/>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014D20" w:rsidRDefault="00014D2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p>
    <w:p w:rsidR="00014D20" w:rsidRDefault="00FA3AA0">
      <w:pPr>
        <w:autoSpaceDE w:val="0"/>
        <w:autoSpaceDN w:val="0"/>
        <w:adjustRightInd w:val="0"/>
        <w:spacing w:line="590" w:lineRule="exact"/>
        <w:ind w:firstLineChars="200" w:firstLine="640"/>
        <w:rPr>
          <w:rFonts w:asciiTheme="minorEastAsia" w:eastAsiaTheme="minorEastAsia" w:hAnsiTheme="minorEastAsia" w:cstheme="minorEastAsia"/>
          <w:kern w:val="0"/>
          <w:sz w:val="32"/>
          <w:szCs w:val="32"/>
        </w:rPr>
      </w:pPr>
      <w:r>
        <w:rPr>
          <w:rFonts w:asciiTheme="minorEastAsia" w:eastAsiaTheme="minorEastAsia" w:hAnsiTheme="minorEastAsia" w:cstheme="minorEastAsia" w:hint="eastAsia"/>
          <w:kern w:val="0"/>
          <w:sz w:val="32"/>
          <w:szCs w:val="32"/>
        </w:rPr>
        <w:t>附件：农业局2018 年部门预算公开报表</w:t>
      </w:r>
    </w:p>
    <w:p w:rsidR="00014D20" w:rsidRDefault="00014D20">
      <w:pPr>
        <w:spacing w:line="590" w:lineRule="exact"/>
        <w:ind w:firstLineChars="200" w:firstLine="640"/>
        <w:rPr>
          <w:rFonts w:asciiTheme="minorEastAsia" w:eastAsiaTheme="minorEastAsia" w:hAnsiTheme="minorEastAsia" w:cstheme="minorEastAsia"/>
          <w:kern w:val="0"/>
          <w:sz w:val="32"/>
          <w:szCs w:val="32"/>
        </w:rPr>
      </w:pPr>
    </w:p>
    <w:p w:rsidR="00014D20" w:rsidRDefault="00014D20">
      <w:pPr>
        <w:spacing w:line="590" w:lineRule="exact"/>
        <w:ind w:firstLineChars="200" w:firstLine="640"/>
        <w:rPr>
          <w:rFonts w:asciiTheme="minorEastAsia" w:eastAsiaTheme="minorEastAsia" w:hAnsiTheme="minorEastAsia" w:cstheme="minorEastAsia"/>
          <w:kern w:val="0"/>
          <w:sz w:val="32"/>
          <w:szCs w:val="32"/>
        </w:rPr>
      </w:pPr>
    </w:p>
    <w:p w:rsidR="00014D20" w:rsidRDefault="00FA3AA0">
      <w:pPr>
        <w:spacing w:line="590" w:lineRule="exact"/>
        <w:ind w:rightChars="600" w:right="1260" w:firstLineChars="200" w:firstLine="640"/>
        <w:jc w:val="right"/>
        <w:rPr>
          <w:rFonts w:asciiTheme="minorEastAsia" w:eastAsiaTheme="minorEastAsia" w:hAnsiTheme="minorEastAsia" w:cstheme="minorEastAsia"/>
        </w:rPr>
      </w:pPr>
      <w:r>
        <w:rPr>
          <w:rFonts w:asciiTheme="minorEastAsia" w:eastAsiaTheme="minorEastAsia" w:hAnsiTheme="minorEastAsia" w:cstheme="minorEastAsia" w:hint="eastAsia"/>
          <w:kern w:val="0"/>
          <w:sz w:val="32"/>
          <w:szCs w:val="32"/>
        </w:rPr>
        <w:t xml:space="preserve">                          2018 年 4 月 4 日</w:t>
      </w:r>
    </w:p>
    <w:sectPr w:rsidR="00014D20" w:rsidSect="00014D20">
      <w:footerReference w:type="default" r:id="rId15"/>
      <w:pgSz w:w="11906" w:h="16838"/>
      <w:pgMar w:top="1984" w:right="1474" w:bottom="1701" w:left="1587" w:header="851" w:footer="1134" w:gutter="0"/>
      <w:pgNumType w:fmt="numberInDas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D20" w:rsidRDefault="00014D20" w:rsidP="00014D20">
      <w:r>
        <w:separator/>
      </w:r>
    </w:p>
  </w:endnote>
  <w:endnote w:type="continuationSeparator" w:id="0">
    <w:p w:rsidR="00014D20" w:rsidRDefault="00014D20" w:rsidP="00014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9C" w:rsidRDefault="00921E9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9C" w:rsidRDefault="00921E9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9C" w:rsidRDefault="00921E9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20" w:rsidRDefault="00014D20">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20" w:rsidRDefault="006F1CA1">
    <w:pPr>
      <w:pStyle w:val="a3"/>
    </w:pPr>
    <w:r>
      <w:pict>
        <v:shapetype id="_x0000_t202" coordsize="21600,21600" o:spt="202" path="m,l,21600r21600,l21600,xe">
          <v:stroke joinstyle="miter"/>
          <v:path gradientshapeok="t" o:connecttype="rect"/>
        </v:shapetype>
        <v:shape id="_x0000_s4097" type="#_x0000_t202" style="position:absolute;margin-left:208pt;margin-top:0;width:2in;height:2in;z-index:251661312;mso-wrap-style:none;mso-position-horizontal:outside;mso-position-horizontal-relative:margin;mso-width-relative:page;mso-height-relative:page" filled="f" stroked="f">
          <v:textbox style="mso-fit-shape-to-text:t" inset="0,0,0,0">
            <w:txbxContent>
              <w:p w:rsidR="00014D20" w:rsidRDefault="006F1CA1">
                <w:pPr>
                  <w:pStyle w:val="a3"/>
                  <w:ind w:leftChars="150" w:left="315" w:rightChars="150" w:right="315"/>
                </w:pPr>
                <w:r>
                  <w:rPr>
                    <w:rFonts w:ascii="宋体" w:hAnsi="宋体" w:cs="宋体" w:hint="eastAsia"/>
                    <w:sz w:val="28"/>
                    <w:szCs w:val="28"/>
                  </w:rPr>
                  <w:fldChar w:fldCharType="begin"/>
                </w:r>
                <w:r w:rsidR="00FA3AA0">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921E9C">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D20" w:rsidRDefault="00014D20" w:rsidP="00014D20">
      <w:r>
        <w:separator/>
      </w:r>
    </w:p>
  </w:footnote>
  <w:footnote w:type="continuationSeparator" w:id="0">
    <w:p w:rsidR="00014D20" w:rsidRDefault="00014D20" w:rsidP="00014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9C" w:rsidRDefault="00921E9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20" w:rsidRDefault="00014D20" w:rsidP="00921E9C">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9C" w:rsidRDefault="00921E9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8"/>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FFC"/>
    <w:rsid w:val="00003F2A"/>
    <w:rsid w:val="000073F4"/>
    <w:rsid w:val="00014961"/>
    <w:rsid w:val="00014D20"/>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54DD"/>
    <w:rsid w:val="000B7632"/>
    <w:rsid w:val="000C04E0"/>
    <w:rsid w:val="000C496A"/>
    <w:rsid w:val="000C5818"/>
    <w:rsid w:val="000D0AD2"/>
    <w:rsid w:val="000D2833"/>
    <w:rsid w:val="000D509E"/>
    <w:rsid w:val="000D5901"/>
    <w:rsid w:val="000E08F2"/>
    <w:rsid w:val="000E1647"/>
    <w:rsid w:val="000E1889"/>
    <w:rsid w:val="000E3685"/>
    <w:rsid w:val="000E4887"/>
    <w:rsid w:val="000E4DC7"/>
    <w:rsid w:val="000E7E6D"/>
    <w:rsid w:val="000F1A14"/>
    <w:rsid w:val="000F48FD"/>
    <w:rsid w:val="000F7655"/>
    <w:rsid w:val="00100DCA"/>
    <w:rsid w:val="00101239"/>
    <w:rsid w:val="00101F3D"/>
    <w:rsid w:val="001214EB"/>
    <w:rsid w:val="001225EA"/>
    <w:rsid w:val="0012314B"/>
    <w:rsid w:val="00123A90"/>
    <w:rsid w:val="00124EBB"/>
    <w:rsid w:val="00130462"/>
    <w:rsid w:val="00131471"/>
    <w:rsid w:val="001324D5"/>
    <w:rsid w:val="00133003"/>
    <w:rsid w:val="00136B70"/>
    <w:rsid w:val="00141C88"/>
    <w:rsid w:val="00141E42"/>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84B45"/>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62362"/>
    <w:rsid w:val="00266DD1"/>
    <w:rsid w:val="00270AA4"/>
    <w:rsid w:val="00271F5A"/>
    <w:rsid w:val="00273A75"/>
    <w:rsid w:val="00282C23"/>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204C"/>
    <w:rsid w:val="002E3E38"/>
    <w:rsid w:val="002E4748"/>
    <w:rsid w:val="002F14E0"/>
    <w:rsid w:val="002F4BB7"/>
    <w:rsid w:val="002F7D6F"/>
    <w:rsid w:val="002F7F86"/>
    <w:rsid w:val="003015AD"/>
    <w:rsid w:val="003030FF"/>
    <w:rsid w:val="003036E0"/>
    <w:rsid w:val="00303F8E"/>
    <w:rsid w:val="0030684E"/>
    <w:rsid w:val="0030728B"/>
    <w:rsid w:val="00314F31"/>
    <w:rsid w:val="0032226B"/>
    <w:rsid w:val="0032462A"/>
    <w:rsid w:val="00330A2E"/>
    <w:rsid w:val="003337D9"/>
    <w:rsid w:val="00333CB9"/>
    <w:rsid w:val="0034193F"/>
    <w:rsid w:val="003434E9"/>
    <w:rsid w:val="00343973"/>
    <w:rsid w:val="00343EAA"/>
    <w:rsid w:val="00351C0E"/>
    <w:rsid w:val="00352B94"/>
    <w:rsid w:val="00361834"/>
    <w:rsid w:val="003658EA"/>
    <w:rsid w:val="003665E0"/>
    <w:rsid w:val="00367425"/>
    <w:rsid w:val="003738D1"/>
    <w:rsid w:val="00387200"/>
    <w:rsid w:val="00390CFE"/>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82E"/>
    <w:rsid w:val="00440E10"/>
    <w:rsid w:val="0044245C"/>
    <w:rsid w:val="00444C3B"/>
    <w:rsid w:val="00447455"/>
    <w:rsid w:val="00452C6A"/>
    <w:rsid w:val="00454C81"/>
    <w:rsid w:val="004564C0"/>
    <w:rsid w:val="0045766A"/>
    <w:rsid w:val="00461B8A"/>
    <w:rsid w:val="00464128"/>
    <w:rsid w:val="00470D0B"/>
    <w:rsid w:val="00473456"/>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93747"/>
    <w:rsid w:val="006A02F9"/>
    <w:rsid w:val="006A5856"/>
    <w:rsid w:val="006A5E66"/>
    <w:rsid w:val="006B0874"/>
    <w:rsid w:val="006B3D9A"/>
    <w:rsid w:val="006B5A82"/>
    <w:rsid w:val="006C0459"/>
    <w:rsid w:val="006C17D1"/>
    <w:rsid w:val="006C244A"/>
    <w:rsid w:val="006D3754"/>
    <w:rsid w:val="006D66A2"/>
    <w:rsid w:val="006E0D4F"/>
    <w:rsid w:val="006E199D"/>
    <w:rsid w:val="006E365D"/>
    <w:rsid w:val="006E3B9C"/>
    <w:rsid w:val="006E47D1"/>
    <w:rsid w:val="006F1CA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A6673"/>
    <w:rsid w:val="008B1047"/>
    <w:rsid w:val="008B2428"/>
    <w:rsid w:val="008B6E8A"/>
    <w:rsid w:val="008C09C6"/>
    <w:rsid w:val="008C09D3"/>
    <w:rsid w:val="008C0E5A"/>
    <w:rsid w:val="008C10A7"/>
    <w:rsid w:val="008C4788"/>
    <w:rsid w:val="008C48C9"/>
    <w:rsid w:val="008C569D"/>
    <w:rsid w:val="008C5FA4"/>
    <w:rsid w:val="008C6890"/>
    <w:rsid w:val="008C7096"/>
    <w:rsid w:val="008D271A"/>
    <w:rsid w:val="008D325A"/>
    <w:rsid w:val="008D60B9"/>
    <w:rsid w:val="008D65D6"/>
    <w:rsid w:val="008E2241"/>
    <w:rsid w:val="008E24DB"/>
    <w:rsid w:val="008E7039"/>
    <w:rsid w:val="008F03CD"/>
    <w:rsid w:val="008F401B"/>
    <w:rsid w:val="008F4650"/>
    <w:rsid w:val="008F6741"/>
    <w:rsid w:val="00900EA2"/>
    <w:rsid w:val="00901C1C"/>
    <w:rsid w:val="0091104C"/>
    <w:rsid w:val="009119A4"/>
    <w:rsid w:val="00913F4A"/>
    <w:rsid w:val="00916BD7"/>
    <w:rsid w:val="00920FE1"/>
    <w:rsid w:val="00921E9C"/>
    <w:rsid w:val="00923441"/>
    <w:rsid w:val="009241F4"/>
    <w:rsid w:val="00925713"/>
    <w:rsid w:val="009278A7"/>
    <w:rsid w:val="00927E82"/>
    <w:rsid w:val="00934198"/>
    <w:rsid w:val="009413BC"/>
    <w:rsid w:val="00943C31"/>
    <w:rsid w:val="00944B9B"/>
    <w:rsid w:val="00950975"/>
    <w:rsid w:val="00956127"/>
    <w:rsid w:val="00960280"/>
    <w:rsid w:val="00963B70"/>
    <w:rsid w:val="00965BCE"/>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22DD3"/>
    <w:rsid w:val="00A31BD6"/>
    <w:rsid w:val="00A3478E"/>
    <w:rsid w:val="00A35233"/>
    <w:rsid w:val="00A35471"/>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863B0"/>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0CB3"/>
    <w:rsid w:val="00B4180D"/>
    <w:rsid w:val="00B422F0"/>
    <w:rsid w:val="00B4401A"/>
    <w:rsid w:val="00B449DD"/>
    <w:rsid w:val="00B45829"/>
    <w:rsid w:val="00B4698A"/>
    <w:rsid w:val="00B54EF9"/>
    <w:rsid w:val="00B56BAB"/>
    <w:rsid w:val="00B57C0F"/>
    <w:rsid w:val="00B57C1B"/>
    <w:rsid w:val="00B601FB"/>
    <w:rsid w:val="00B60316"/>
    <w:rsid w:val="00B61783"/>
    <w:rsid w:val="00B70C27"/>
    <w:rsid w:val="00B71AFA"/>
    <w:rsid w:val="00B73B98"/>
    <w:rsid w:val="00B75D51"/>
    <w:rsid w:val="00B75E1E"/>
    <w:rsid w:val="00B76FD4"/>
    <w:rsid w:val="00B835D4"/>
    <w:rsid w:val="00B86DD4"/>
    <w:rsid w:val="00B90A03"/>
    <w:rsid w:val="00B9276F"/>
    <w:rsid w:val="00B95E70"/>
    <w:rsid w:val="00BA0AFF"/>
    <w:rsid w:val="00BA5A51"/>
    <w:rsid w:val="00BA6149"/>
    <w:rsid w:val="00BB189D"/>
    <w:rsid w:val="00BB6111"/>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1678"/>
    <w:rsid w:val="00C92322"/>
    <w:rsid w:val="00C94E3B"/>
    <w:rsid w:val="00CA025F"/>
    <w:rsid w:val="00CA09B5"/>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D44EE"/>
    <w:rsid w:val="00CE1554"/>
    <w:rsid w:val="00CE6662"/>
    <w:rsid w:val="00CF15FC"/>
    <w:rsid w:val="00CF3092"/>
    <w:rsid w:val="00CF4D37"/>
    <w:rsid w:val="00CF6821"/>
    <w:rsid w:val="00CF697F"/>
    <w:rsid w:val="00D00B3F"/>
    <w:rsid w:val="00D0196C"/>
    <w:rsid w:val="00D03DC0"/>
    <w:rsid w:val="00D04D3D"/>
    <w:rsid w:val="00D05CD4"/>
    <w:rsid w:val="00D151BC"/>
    <w:rsid w:val="00D25EE2"/>
    <w:rsid w:val="00D30CA8"/>
    <w:rsid w:val="00D31B0C"/>
    <w:rsid w:val="00D32F97"/>
    <w:rsid w:val="00D33DDD"/>
    <w:rsid w:val="00D369C5"/>
    <w:rsid w:val="00D46789"/>
    <w:rsid w:val="00D546FC"/>
    <w:rsid w:val="00D55134"/>
    <w:rsid w:val="00D62B97"/>
    <w:rsid w:val="00D63210"/>
    <w:rsid w:val="00D64578"/>
    <w:rsid w:val="00D66664"/>
    <w:rsid w:val="00D74283"/>
    <w:rsid w:val="00D779E1"/>
    <w:rsid w:val="00D806FE"/>
    <w:rsid w:val="00D82733"/>
    <w:rsid w:val="00D830DF"/>
    <w:rsid w:val="00D84117"/>
    <w:rsid w:val="00D91FEA"/>
    <w:rsid w:val="00D92452"/>
    <w:rsid w:val="00DA0EA2"/>
    <w:rsid w:val="00DA0FD5"/>
    <w:rsid w:val="00DA19EA"/>
    <w:rsid w:val="00DA661B"/>
    <w:rsid w:val="00DB17CA"/>
    <w:rsid w:val="00DB2EB2"/>
    <w:rsid w:val="00DB5C04"/>
    <w:rsid w:val="00DB73D0"/>
    <w:rsid w:val="00DB7A88"/>
    <w:rsid w:val="00DB7FEA"/>
    <w:rsid w:val="00DC1906"/>
    <w:rsid w:val="00DC1C4C"/>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3247"/>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11AC"/>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3AA0"/>
    <w:rsid w:val="00FA636C"/>
    <w:rsid w:val="00FA6922"/>
    <w:rsid w:val="00FA6C12"/>
    <w:rsid w:val="00FA77D7"/>
    <w:rsid w:val="00FB3015"/>
    <w:rsid w:val="00FB5028"/>
    <w:rsid w:val="00FB5CC5"/>
    <w:rsid w:val="00FB610B"/>
    <w:rsid w:val="00FB6E9D"/>
    <w:rsid w:val="00FC0510"/>
    <w:rsid w:val="00FC1F32"/>
    <w:rsid w:val="00FC2CB4"/>
    <w:rsid w:val="00FC6028"/>
    <w:rsid w:val="00FC66E4"/>
    <w:rsid w:val="00FD1E6F"/>
    <w:rsid w:val="00FE2DA3"/>
    <w:rsid w:val="00FE374F"/>
    <w:rsid w:val="00FE3C53"/>
    <w:rsid w:val="00FE795C"/>
    <w:rsid w:val="00FF0DB7"/>
    <w:rsid w:val="00FF3959"/>
    <w:rsid w:val="00FF72B0"/>
    <w:rsid w:val="01F03658"/>
    <w:rsid w:val="02C447A9"/>
    <w:rsid w:val="03A054FA"/>
    <w:rsid w:val="03A53AE0"/>
    <w:rsid w:val="059F6E03"/>
    <w:rsid w:val="061B1FFA"/>
    <w:rsid w:val="085E7ADD"/>
    <w:rsid w:val="08BF4946"/>
    <w:rsid w:val="137672DB"/>
    <w:rsid w:val="13F377A7"/>
    <w:rsid w:val="15F60834"/>
    <w:rsid w:val="17254F48"/>
    <w:rsid w:val="17660E12"/>
    <w:rsid w:val="1C424698"/>
    <w:rsid w:val="1CB82D19"/>
    <w:rsid w:val="1F794F46"/>
    <w:rsid w:val="208643D4"/>
    <w:rsid w:val="239F64E8"/>
    <w:rsid w:val="24AA2878"/>
    <w:rsid w:val="24E84AB7"/>
    <w:rsid w:val="2719652F"/>
    <w:rsid w:val="29474C56"/>
    <w:rsid w:val="29AB0198"/>
    <w:rsid w:val="29DB0CB1"/>
    <w:rsid w:val="2B912A9D"/>
    <w:rsid w:val="30C87343"/>
    <w:rsid w:val="35602153"/>
    <w:rsid w:val="3753416D"/>
    <w:rsid w:val="3B6A6F3C"/>
    <w:rsid w:val="3CF20396"/>
    <w:rsid w:val="3DBA7D15"/>
    <w:rsid w:val="3DD07CE3"/>
    <w:rsid w:val="3E1F6542"/>
    <w:rsid w:val="3EE565D1"/>
    <w:rsid w:val="40EB205B"/>
    <w:rsid w:val="441B45F2"/>
    <w:rsid w:val="45672226"/>
    <w:rsid w:val="45BE6A0D"/>
    <w:rsid w:val="48347644"/>
    <w:rsid w:val="4F6D4C70"/>
    <w:rsid w:val="56536EA8"/>
    <w:rsid w:val="56E26142"/>
    <w:rsid w:val="57736304"/>
    <w:rsid w:val="581A4DBB"/>
    <w:rsid w:val="59C21707"/>
    <w:rsid w:val="59C55C55"/>
    <w:rsid w:val="5C0B30C5"/>
    <w:rsid w:val="5C814A1A"/>
    <w:rsid w:val="5D5A685C"/>
    <w:rsid w:val="5FFF1EFE"/>
    <w:rsid w:val="65B200B0"/>
    <w:rsid w:val="69C76915"/>
    <w:rsid w:val="71923E56"/>
    <w:rsid w:val="759C0A04"/>
    <w:rsid w:val="77DD29DD"/>
    <w:rsid w:val="7D9343D8"/>
    <w:rsid w:val="7FD04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D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14D20"/>
    <w:pPr>
      <w:tabs>
        <w:tab w:val="center" w:pos="4153"/>
        <w:tab w:val="right" w:pos="8306"/>
      </w:tabs>
      <w:snapToGrid w:val="0"/>
      <w:jc w:val="left"/>
    </w:pPr>
    <w:rPr>
      <w:sz w:val="18"/>
      <w:szCs w:val="18"/>
    </w:rPr>
  </w:style>
  <w:style w:type="paragraph" w:styleId="a4">
    <w:name w:val="header"/>
    <w:basedOn w:val="a"/>
    <w:link w:val="Char0"/>
    <w:qFormat/>
    <w:rsid w:val="00014D20"/>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014D20"/>
    <w:rPr>
      <w:color w:val="0000FF"/>
      <w:u w:val="single"/>
    </w:rPr>
  </w:style>
  <w:style w:type="character" w:customStyle="1" w:styleId="Char0">
    <w:name w:val="页眉 Char"/>
    <w:basedOn w:val="a0"/>
    <w:link w:val="a4"/>
    <w:qFormat/>
    <w:rsid w:val="00014D20"/>
    <w:rPr>
      <w:kern w:val="2"/>
      <w:sz w:val="18"/>
      <w:szCs w:val="18"/>
    </w:rPr>
  </w:style>
  <w:style w:type="character" w:customStyle="1" w:styleId="Char">
    <w:name w:val="页脚 Char"/>
    <w:basedOn w:val="a0"/>
    <w:link w:val="a3"/>
    <w:qFormat/>
    <w:rsid w:val="00014D2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aike.baidu.com/item/%E5%86%9C%E4%B8%9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4461</Words>
  <Characters>737</Characters>
  <Application>Microsoft Office Word</Application>
  <DocSecurity>0</DocSecurity>
  <Lines>6</Lines>
  <Paragraphs>10</Paragraphs>
  <ScaleCrop>false</ScaleCrop>
  <Company>MS</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2019-01-17T06:18:00Z</cp:lastPrinted>
  <dcterms:created xsi:type="dcterms:W3CDTF">2019-01-14T12:03:00Z</dcterms:created>
  <dcterms:modified xsi:type="dcterms:W3CDTF">2019-01-24T03:49:00Z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