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pPr>
      <w:r>
        <w:rPr>
          <w:rFonts w:hint="eastAsia" w:hAnsi="长城小标宋体" w:cs="长城小标宋体"/>
          <w:lang w:eastAsia="zh-CN"/>
        </w:rPr>
        <w:t>鹿邑县</w:t>
      </w:r>
      <w:r>
        <w:rPr>
          <w:rFonts w:hint="eastAsia" w:ascii="Times New Roman" w:hAnsi="长城小标宋体" w:eastAsia="长城小标宋体" w:cs="长城小标宋体"/>
          <w:lang w:eastAsia="zh-CN"/>
        </w:rPr>
        <w:t>涉企保证金目录清单</w:t>
      </w:r>
    </w:p>
    <w:tbl>
      <w:tblPr>
        <w:tblStyle w:val="2"/>
        <w:tblpPr w:leftFromText="180" w:rightFromText="180" w:vertAnchor="text" w:horzAnchor="page" w:tblpXSpec="center" w:tblpY="620"/>
        <w:tblOverlap w:val="never"/>
        <w:tblW w:w="14516" w:type="dxa"/>
        <w:jc w:val="center"/>
        <w:shd w:val="clear" w:color="auto" w:fill="auto"/>
        <w:tblLayout w:type="fixed"/>
        <w:tblCellMar>
          <w:top w:w="0" w:type="dxa"/>
          <w:left w:w="108" w:type="dxa"/>
          <w:bottom w:w="0" w:type="dxa"/>
          <w:right w:w="108" w:type="dxa"/>
        </w:tblCellMar>
      </w:tblPr>
      <w:tblGrid>
        <w:gridCol w:w="658"/>
        <w:gridCol w:w="972"/>
        <w:gridCol w:w="1107"/>
        <w:gridCol w:w="3682"/>
        <w:gridCol w:w="2290"/>
        <w:gridCol w:w="2888"/>
        <w:gridCol w:w="2919"/>
      </w:tblGrid>
      <w:tr>
        <w:tblPrEx>
          <w:shd w:val="clear" w:color="auto" w:fill="auto"/>
          <w:tblCellMar>
            <w:top w:w="0" w:type="dxa"/>
            <w:left w:w="108" w:type="dxa"/>
            <w:bottom w:w="0" w:type="dxa"/>
            <w:right w:w="108" w:type="dxa"/>
          </w:tblCellMar>
        </w:tblPrEx>
        <w:trPr>
          <w:trHeight w:val="829"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序号</w:t>
            </w:r>
          </w:p>
        </w:tc>
        <w:tc>
          <w:tcPr>
            <w:tcW w:w="9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项目</w:t>
            </w:r>
            <w:r>
              <w:rPr>
                <w:rFonts w:hint="default" w:ascii="Times New Roman" w:hAnsi="Times New Roman" w:eastAsia="宋体" w:cs="Times New Roman"/>
                <w:b/>
                <w:kern w:val="0"/>
                <w:sz w:val="21"/>
                <w:szCs w:val="21"/>
                <w:lang w:val="en-US" w:eastAsia="zh-CN" w:bidi="ar"/>
              </w:rPr>
              <w:br w:type="textWrapping"/>
            </w:r>
            <w:r>
              <w:rPr>
                <w:rFonts w:hint="eastAsia" w:ascii="Times New Roman" w:hAnsi="Times New Roman" w:eastAsia="宋体" w:cs="宋体"/>
                <w:b/>
                <w:kern w:val="0"/>
                <w:sz w:val="21"/>
                <w:szCs w:val="21"/>
                <w:lang w:val="en-US" w:eastAsia="zh-CN" w:bidi="ar"/>
              </w:rPr>
              <w:t>名称</w:t>
            </w:r>
          </w:p>
        </w:tc>
        <w:tc>
          <w:tcPr>
            <w:tcW w:w="11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设立</w:t>
            </w:r>
            <w:r>
              <w:rPr>
                <w:rFonts w:hint="default" w:ascii="Times New Roman" w:hAnsi="Times New Roman" w:eastAsia="宋体" w:cs="Times New Roman"/>
                <w:b/>
                <w:kern w:val="0"/>
                <w:sz w:val="21"/>
                <w:szCs w:val="21"/>
                <w:lang w:val="en-US" w:eastAsia="zh-CN" w:bidi="ar"/>
              </w:rPr>
              <w:br w:type="textWrapping"/>
            </w:r>
            <w:r>
              <w:rPr>
                <w:rFonts w:hint="eastAsia" w:ascii="Times New Roman" w:hAnsi="Times New Roman" w:eastAsia="宋体" w:cs="宋体"/>
                <w:b/>
                <w:kern w:val="0"/>
                <w:sz w:val="21"/>
                <w:szCs w:val="21"/>
                <w:lang w:val="en-US" w:eastAsia="zh-CN" w:bidi="ar"/>
              </w:rPr>
              <w:t>单位</w:t>
            </w:r>
          </w:p>
        </w:tc>
        <w:tc>
          <w:tcPr>
            <w:tcW w:w="36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设立依据</w:t>
            </w:r>
          </w:p>
        </w:tc>
        <w:tc>
          <w:tcPr>
            <w:tcW w:w="22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征收标准</w:t>
            </w:r>
          </w:p>
        </w:tc>
        <w:tc>
          <w:tcPr>
            <w:tcW w:w="28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征收程序</w:t>
            </w:r>
          </w:p>
        </w:tc>
        <w:tc>
          <w:tcPr>
            <w:tcW w:w="29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返还时间</w:t>
            </w:r>
          </w:p>
        </w:tc>
      </w:tr>
      <w:tr>
        <w:tblPrEx>
          <w:shd w:val="clear" w:color="auto" w:fill="auto"/>
          <w:tblCellMar>
            <w:top w:w="0" w:type="dxa"/>
            <w:left w:w="108" w:type="dxa"/>
            <w:bottom w:w="0" w:type="dxa"/>
            <w:right w:w="108" w:type="dxa"/>
          </w:tblCellMar>
        </w:tblPrEx>
        <w:trPr>
          <w:trHeight w:val="1931"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kern w:val="0"/>
                <w:szCs w:val="21"/>
                <w:lang w:val="en-US"/>
              </w:rPr>
            </w:pPr>
            <w:r>
              <w:rPr>
                <w:rFonts w:hint="default" w:ascii="Times New Roman" w:hAnsi="Times New Roman" w:eastAsia="宋体" w:cs="Times New Roman"/>
                <w:kern w:val="0"/>
                <w:sz w:val="21"/>
                <w:szCs w:val="21"/>
                <w:lang w:val="en-US" w:eastAsia="zh-CN" w:bidi="ar"/>
              </w:rPr>
              <w:t>1</w:t>
            </w:r>
          </w:p>
        </w:tc>
        <w:tc>
          <w:tcPr>
            <w:tcW w:w="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投标保证金</w:t>
            </w: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国家发展改革委</w:t>
            </w:r>
          </w:p>
        </w:tc>
        <w:tc>
          <w:tcPr>
            <w:tcW w:w="3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color w:val="000000"/>
                <w:kern w:val="0"/>
                <w:szCs w:val="21"/>
                <w:lang w:val="en-US"/>
              </w:rPr>
            </w:pPr>
            <w:r>
              <w:rPr>
                <w:rFonts w:hint="eastAsia" w:ascii="Times New Roman" w:hAnsi="Times New Roman" w:eastAsia="宋体" w:cs="宋体"/>
                <w:color w:val="000000"/>
                <w:kern w:val="0"/>
                <w:sz w:val="21"/>
                <w:szCs w:val="21"/>
                <w:lang w:val="en-US" w:eastAsia="zh-CN" w:bidi="ar"/>
              </w:rPr>
              <w:t>《中华人民共</w:t>
            </w:r>
            <w:bookmarkStart w:id="0" w:name="_GoBack"/>
            <w:bookmarkEnd w:id="0"/>
            <w:r>
              <w:rPr>
                <w:rFonts w:hint="eastAsia" w:ascii="Times New Roman" w:hAnsi="Times New Roman" w:eastAsia="宋体" w:cs="宋体"/>
                <w:color w:val="000000"/>
                <w:kern w:val="0"/>
                <w:sz w:val="21"/>
                <w:szCs w:val="21"/>
                <w:lang w:val="en-US" w:eastAsia="zh-CN" w:bidi="ar"/>
              </w:rPr>
              <w:t>和国招标投标法》《中华人民共和国招标投标法实施条例》（国务院令第</w:t>
            </w:r>
            <w:r>
              <w:rPr>
                <w:rFonts w:hint="default" w:ascii="Times New Roman" w:hAnsi="Times New Roman" w:eastAsia="宋体" w:cs="Times New Roman"/>
                <w:color w:val="000000"/>
                <w:kern w:val="0"/>
                <w:sz w:val="21"/>
                <w:szCs w:val="21"/>
                <w:lang w:val="en-US" w:eastAsia="zh-CN" w:bidi="ar"/>
              </w:rPr>
              <w:t>613</w:t>
            </w:r>
            <w:r>
              <w:rPr>
                <w:rFonts w:hint="eastAsia" w:ascii="Times New Roman" w:hAnsi="Times New Roman" w:eastAsia="宋体" w:cs="宋体"/>
                <w:color w:val="000000"/>
                <w:kern w:val="0"/>
                <w:sz w:val="21"/>
                <w:szCs w:val="21"/>
                <w:lang w:val="en-US" w:eastAsia="zh-CN" w:bidi="ar"/>
              </w:rPr>
              <w:t>号）</w:t>
            </w:r>
          </w:p>
        </w:tc>
        <w:tc>
          <w:tcPr>
            <w:tcW w:w="2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投标保证金不得超过招标项目估算价</w:t>
            </w:r>
            <w:r>
              <w:rPr>
                <w:rFonts w:hint="default" w:ascii="Times New Roman" w:hAnsi="Times New Roman" w:eastAsia="宋体" w:cs="Times New Roman"/>
                <w:kern w:val="0"/>
                <w:sz w:val="21"/>
                <w:szCs w:val="21"/>
                <w:lang w:val="en-US" w:eastAsia="zh-CN" w:bidi="ar"/>
              </w:rPr>
              <w:t>2%</w:t>
            </w:r>
            <w:r>
              <w:rPr>
                <w:rFonts w:hint="eastAsia" w:ascii="Times New Roman" w:hAnsi="Times New Roman" w:eastAsia="宋体" w:cs="宋体"/>
                <w:kern w:val="0"/>
                <w:sz w:val="21"/>
                <w:szCs w:val="21"/>
                <w:lang w:val="en-US" w:eastAsia="zh-CN" w:bidi="ar"/>
              </w:rPr>
              <w:t>。工程建设领域为总价不超过</w:t>
            </w:r>
            <w:r>
              <w:rPr>
                <w:rFonts w:hint="default" w:ascii="Times New Roman" w:hAnsi="Times New Roman" w:eastAsia="宋体" w:cs="Times New Roman"/>
                <w:kern w:val="0"/>
                <w:sz w:val="21"/>
                <w:szCs w:val="21"/>
                <w:lang w:val="en-US" w:eastAsia="zh-CN" w:bidi="ar"/>
              </w:rPr>
              <w:t>80</w:t>
            </w:r>
            <w:r>
              <w:rPr>
                <w:rFonts w:hint="eastAsia" w:ascii="Times New Roman" w:hAnsi="Times New Roman" w:eastAsia="宋体" w:cs="宋体"/>
                <w:kern w:val="0"/>
                <w:sz w:val="21"/>
                <w:szCs w:val="21"/>
                <w:lang w:val="en-US" w:eastAsia="zh-CN" w:bidi="ar"/>
              </w:rPr>
              <w:t>万。</w:t>
            </w:r>
          </w:p>
        </w:tc>
        <w:tc>
          <w:tcPr>
            <w:tcW w:w="28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根据招标文件具体要求执行。工程建设领域为投标截日之前缴纳。</w:t>
            </w:r>
          </w:p>
        </w:tc>
        <w:tc>
          <w:tcPr>
            <w:tcW w:w="29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招标人最迟应当在书面合同签订后</w:t>
            </w:r>
            <w:r>
              <w:rPr>
                <w:rFonts w:hint="default" w:ascii="Times New Roman" w:hAnsi="Times New Roman" w:eastAsia="宋体" w:cs="Times New Roman"/>
                <w:kern w:val="0"/>
                <w:sz w:val="21"/>
                <w:szCs w:val="21"/>
                <w:lang w:val="en-US" w:eastAsia="zh-CN" w:bidi="ar"/>
              </w:rPr>
              <w:t>5</w:t>
            </w:r>
            <w:r>
              <w:rPr>
                <w:rFonts w:hint="eastAsia" w:ascii="Times New Roman" w:hAnsi="Times New Roman" w:eastAsia="宋体" w:cs="宋体"/>
                <w:kern w:val="0"/>
                <w:sz w:val="21"/>
                <w:szCs w:val="21"/>
                <w:lang w:val="en-US" w:eastAsia="zh-CN" w:bidi="ar"/>
              </w:rPr>
              <w:t>日内向中标人和未中标的投标人退还投标保证金及银行同期存款利息。</w:t>
            </w:r>
          </w:p>
        </w:tc>
      </w:tr>
      <w:tr>
        <w:tblPrEx>
          <w:shd w:val="clear" w:color="auto" w:fill="auto"/>
          <w:tblCellMar>
            <w:top w:w="0" w:type="dxa"/>
            <w:left w:w="108" w:type="dxa"/>
            <w:bottom w:w="0" w:type="dxa"/>
            <w:right w:w="108" w:type="dxa"/>
          </w:tblCellMar>
        </w:tblPrEx>
        <w:trPr>
          <w:trHeight w:val="4262" w:hRule="atLeast"/>
          <w:jc w:val="center"/>
        </w:trPr>
        <w:tc>
          <w:tcPr>
            <w:tcW w:w="65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kern w:val="0"/>
                <w:szCs w:val="21"/>
                <w:lang w:val="en-US"/>
              </w:rPr>
            </w:pPr>
            <w:r>
              <w:rPr>
                <w:rFonts w:hint="default" w:ascii="Times New Roman" w:hAnsi="Times New Roman" w:eastAsia="宋体" w:cs="Times New Roman"/>
                <w:kern w:val="0"/>
                <w:sz w:val="21"/>
                <w:szCs w:val="21"/>
                <w:lang w:val="en-US" w:eastAsia="zh-CN" w:bidi="ar"/>
              </w:rPr>
              <w:t>2</w:t>
            </w:r>
          </w:p>
        </w:tc>
        <w:tc>
          <w:tcPr>
            <w:tcW w:w="9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履约保证金</w:t>
            </w: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国家发展改革委、住房城乡建设部</w:t>
            </w:r>
          </w:p>
        </w:tc>
        <w:tc>
          <w:tcPr>
            <w:tcW w:w="36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《中华人民共和国招标投标法》《中华人民共和国招标投标法实施条例》《工程建设项目施工招标投标办法》（七部委</w:t>
            </w:r>
            <w:r>
              <w:rPr>
                <w:rFonts w:hint="default" w:ascii="Times New Roman" w:hAnsi="Times New Roman" w:eastAsia="宋体" w:cs="Times New Roman"/>
                <w:kern w:val="0"/>
                <w:sz w:val="21"/>
                <w:szCs w:val="21"/>
                <w:lang w:val="en-US" w:eastAsia="zh-CN" w:bidi="ar"/>
              </w:rPr>
              <w:t>30</w:t>
            </w:r>
            <w:r>
              <w:rPr>
                <w:rFonts w:hint="eastAsia" w:ascii="Times New Roman" w:hAnsi="Times New Roman" w:eastAsia="宋体" w:cs="宋体"/>
                <w:kern w:val="0"/>
                <w:sz w:val="21"/>
                <w:szCs w:val="21"/>
                <w:lang w:val="en-US" w:eastAsia="zh-CN" w:bidi="ar"/>
              </w:rPr>
              <w:t>号令）建设部《关于印发</w:t>
            </w:r>
            <w:r>
              <w:rPr>
                <w:rFonts w:hint="default" w:ascii="Times New Roman" w:hAnsi="Times New Roman" w:eastAsia="宋体" w:cs="Times New Roman"/>
                <w:kern w:val="0"/>
                <w:sz w:val="21"/>
                <w:szCs w:val="21"/>
                <w:lang w:val="en-US" w:eastAsia="zh-CN" w:bidi="ar"/>
              </w:rPr>
              <w:t>&lt;</w:t>
            </w:r>
            <w:r>
              <w:rPr>
                <w:rFonts w:hint="eastAsia" w:ascii="Times New Roman" w:hAnsi="Times New Roman" w:eastAsia="宋体" w:cs="宋体"/>
                <w:kern w:val="0"/>
                <w:sz w:val="21"/>
                <w:szCs w:val="21"/>
                <w:lang w:val="en-US" w:eastAsia="zh-CN" w:bidi="ar"/>
              </w:rPr>
              <w:t>关于在房地产开发项目中推行工程建设合同担保的若干规定（试行）</w:t>
            </w:r>
            <w:r>
              <w:rPr>
                <w:rFonts w:hint="default" w:ascii="Times New Roman" w:hAnsi="Times New Roman" w:eastAsia="宋体" w:cs="Times New Roman"/>
                <w:kern w:val="0"/>
                <w:sz w:val="21"/>
                <w:szCs w:val="21"/>
                <w:lang w:val="en-US" w:eastAsia="zh-CN" w:bidi="ar"/>
              </w:rPr>
              <w:t>&gt;</w:t>
            </w:r>
            <w:r>
              <w:rPr>
                <w:rFonts w:hint="eastAsia" w:ascii="Times New Roman" w:hAnsi="Times New Roman" w:eastAsia="宋体" w:cs="宋体"/>
                <w:kern w:val="0"/>
                <w:sz w:val="21"/>
                <w:szCs w:val="21"/>
                <w:lang w:val="en-US" w:eastAsia="zh-CN" w:bidi="ar"/>
              </w:rPr>
              <w:t>的通知》（建市〔</w:t>
            </w:r>
            <w:r>
              <w:rPr>
                <w:rFonts w:hint="default" w:ascii="Times New Roman" w:hAnsi="Times New Roman" w:eastAsia="宋体" w:cs="Times New Roman"/>
                <w:kern w:val="0"/>
                <w:sz w:val="21"/>
                <w:szCs w:val="21"/>
                <w:lang w:val="en-US" w:eastAsia="zh-CN" w:bidi="ar"/>
              </w:rPr>
              <w:t>2004</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137</w:t>
            </w:r>
            <w:r>
              <w:rPr>
                <w:rFonts w:hint="eastAsia" w:ascii="Times New Roman" w:hAnsi="Times New Roman" w:eastAsia="宋体" w:cs="宋体"/>
                <w:kern w:val="0"/>
                <w:sz w:val="21"/>
                <w:szCs w:val="21"/>
                <w:lang w:val="en-US" w:eastAsia="zh-CN" w:bidi="ar"/>
              </w:rPr>
              <w:t>号）</w:t>
            </w:r>
          </w:p>
        </w:tc>
        <w:tc>
          <w:tcPr>
            <w:tcW w:w="22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履约保证金不得超过中标合同金额的</w:t>
            </w:r>
            <w:r>
              <w:rPr>
                <w:rFonts w:hint="default" w:ascii="Times New Roman" w:hAnsi="Times New Roman" w:eastAsia="宋体" w:cs="Times New Roman"/>
                <w:kern w:val="0"/>
                <w:sz w:val="21"/>
                <w:szCs w:val="21"/>
                <w:lang w:val="en-US" w:eastAsia="zh-CN" w:bidi="ar"/>
              </w:rPr>
              <w:t>10%</w:t>
            </w:r>
            <w:r>
              <w:rPr>
                <w:rFonts w:hint="eastAsia" w:ascii="Times New Roman" w:hAnsi="Times New Roman" w:eastAsia="宋体" w:cs="宋体"/>
                <w:kern w:val="0"/>
                <w:sz w:val="21"/>
                <w:szCs w:val="21"/>
                <w:lang w:val="en-US" w:eastAsia="zh-CN" w:bidi="ar"/>
              </w:rPr>
              <w:t>。工程建设领域为工程造价的</w:t>
            </w:r>
            <w:r>
              <w:rPr>
                <w:rFonts w:hint="default" w:ascii="Times New Roman" w:hAnsi="Times New Roman" w:eastAsia="宋体" w:cs="Times New Roman"/>
                <w:kern w:val="0"/>
                <w:sz w:val="21"/>
                <w:szCs w:val="21"/>
                <w:lang w:val="en-US" w:eastAsia="zh-CN" w:bidi="ar"/>
              </w:rPr>
              <w:t>5%-10%</w:t>
            </w:r>
            <w:r>
              <w:rPr>
                <w:rFonts w:hint="eastAsia" w:ascii="Times New Roman" w:hAnsi="Times New Roman" w:eastAsia="宋体" w:cs="宋体"/>
                <w:kern w:val="0"/>
                <w:sz w:val="21"/>
                <w:szCs w:val="21"/>
                <w:lang w:val="en-US" w:eastAsia="zh-CN" w:bidi="ar"/>
              </w:rPr>
              <w:t>。</w:t>
            </w:r>
          </w:p>
        </w:tc>
        <w:tc>
          <w:tcPr>
            <w:tcW w:w="28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根据招标文件或中标合同具体要求执行。工程建设领域为企业中标后，投标保证金直接转为履约保证金，不足部分由企业补齐。</w:t>
            </w:r>
          </w:p>
        </w:tc>
        <w:tc>
          <w:tcPr>
            <w:tcW w:w="29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根据中标合同约定，待中标人履行完合同约定权利义务事项后退还。工程建设领域为合同约定的工程竣工验收合格之日后</w:t>
            </w:r>
            <w:r>
              <w:rPr>
                <w:rFonts w:hint="default" w:ascii="Times New Roman" w:hAnsi="Times New Roman" w:eastAsia="宋体" w:cs="Times New Roman"/>
                <w:kern w:val="0"/>
                <w:sz w:val="21"/>
                <w:szCs w:val="21"/>
                <w:lang w:val="en-US" w:eastAsia="zh-CN" w:bidi="ar"/>
              </w:rPr>
              <w:t>180</w:t>
            </w:r>
            <w:r>
              <w:rPr>
                <w:rFonts w:hint="eastAsia" w:ascii="Times New Roman" w:hAnsi="Times New Roman" w:eastAsia="宋体" w:cs="宋体"/>
                <w:kern w:val="0"/>
                <w:sz w:val="21"/>
                <w:szCs w:val="21"/>
                <w:lang w:val="en-US" w:eastAsia="zh-CN" w:bidi="ar"/>
              </w:rPr>
              <w:t>天或合同约定完成全部工程款结算款项（工程质量保修金除外）支付之日起</w:t>
            </w:r>
            <w:r>
              <w:rPr>
                <w:rFonts w:hint="default" w:ascii="Times New Roman" w:hAnsi="Times New Roman" w:eastAsia="宋体" w:cs="Times New Roman"/>
                <w:kern w:val="0"/>
                <w:sz w:val="21"/>
                <w:szCs w:val="21"/>
                <w:lang w:val="en-US" w:eastAsia="zh-CN" w:bidi="ar"/>
              </w:rPr>
              <w:t>180</w:t>
            </w:r>
            <w:r>
              <w:rPr>
                <w:rFonts w:hint="eastAsia" w:ascii="Times New Roman" w:hAnsi="Times New Roman" w:eastAsia="宋体" w:cs="宋体"/>
                <w:kern w:val="0"/>
                <w:sz w:val="21"/>
                <w:szCs w:val="21"/>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9"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序号</w:t>
            </w:r>
          </w:p>
        </w:tc>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项目</w:t>
            </w:r>
            <w:r>
              <w:rPr>
                <w:rFonts w:hint="default" w:ascii="Times New Roman" w:hAnsi="Times New Roman" w:eastAsia="宋体" w:cs="Times New Roman"/>
                <w:b/>
                <w:kern w:val="0"/>
                <w:sz w:val="21"/>
                <w:szCs w:val="21"/>
                <w:lang w:val="en-US" w:eastAsia="zh-CN" w:bidi="ar"/>
              </w:rPr>
              <w:br w:type="textWrapping"/>
            </w:r>
            <w:r>
              <w:rPr>
                <w:rFonts w:hint="eastAsia" w:ascii="Times New Roman" w:hAnsi="Times New Roman" w:eastAsia="宋体" w:cs="宋体"/>
                <w:b/>
                <w:kern w:val="0"/>
                <w:sz w:val="21"/>
                <w:szCs w:val="21"/>
                <w:lang w:val="en-US" w:eastAsia="zh-CN" w:bidi="ar"/>
              </w:rPr>
              <w:t>名称</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设立</w:t>
            </w:r>
            <w:r>
              <w:rPr>
                <w:rFonts w:hint="default" w:ascii="Times New Roman" w:hAnsi="Times New Roman" w:eastAsia="宋体" w:cs="Times New Roman"/>
                <w:b/>
                <w:kern w:val="0"/>
                <w:sz w:val="21"/>
                <w:szCs w:val="21"/>
                <w:lang w:val="en-US" w:eastAsia="zh-CN" w:bidi="ar"/>
              </w:rPr>
              <w:br w:type="textWrapping"/>
            </w:r>
            <w:r>
              <w:rPr>
                <w:rFonts w:hint="eastAsia" w:ascii="Times New Roman" w:hAnsi="Times New Roman" w:eastAsia="宋体" w:cs="宋体"/>
                <w:b/>
                <w:kern w:val="0"/>
                <w:sz w:val="21"/>
                <w:szCs w:val="21"/>
                <w:lang w:val="en-US" w:eastAsia="zh-CN" w:bidi="ar"/>
              </w:rPr>
              <w:t>单位</w:t>
            </w:r>
          </w:p>
        </w:tc>
        <w:tc>
          <w:tcPr>
            <w:tcW w:w="3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设立依据</w:t>
            </w:r>
          </w:p>
        </w:tc>
        <w:tc>
          <w:tcPr>
            <w:tcW w:w="2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征收标准</w:t>
            </w:r>
          </w:p>
        </w:tc>
        <w:tc>
          <w:tcPr>
            <w:tcW w:w="2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征收程序</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返还时间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61"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kern w:val="0"/>
                <w:szCs w:val="21"/>
                <w:lang w:val="en-US"/>
              </w:rPr>
            </w:pPr>
            <w:r>
              <w:rPr>
                <w:rFonts w:hint="eastAsia" w:ascii="Times New Roman" w:hAnsi="Times New Roman" w:eastAsia="宋体" w:cs="Times New Roman"/>
                <w:kern w:val="0"/>
                <w:sz w:val="21"/>
                <w:szCs w:val="21"/>
                <w:lang w:val="en-US" w:eastAsia="zh-CN" w:bidi="ar"/>
              </w:rPr>
              <w:t>3</w:t>
            </w:r>
          </w:p>
        </w:tc>
        <w:tc>
          <w:tcPr>
            <w:tcW w:w="9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工程质量保证金</w:t>
            </w:r>
          </w:p>
        </w:tc>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住房城乡建设部、财政部</w:t>
            </w:r>
          </w:p>
        </w:tc>
        <w:tc>
          <w:tcPr>
            <w:tcW w:w="3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《国务院办公厅关于清理规范工程建设领域保证金的通知》（国办发〔</w:t>
            </w:r>
            <w:r>
              <w:rPr>
                <w:rFonts w:hint="default" w:ascii="Times New Roman" w:hAnsi="Times New Roman" w:eastAsia="宋体" w:cs="Times New Roman"/>
                <w:kern w:val="0"/>
                <w:sz w:val="21"/>
                <w:szCs w:val="21"/>
                <w:lang w:val="en-US" w:eastAsia="zh-CN" w:bidi="ar"/>
              </w:rPr>
              <w:t>2016</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49</w:t>
            </w:r>
            <w:r>
              <w:rPr>
                <w:rFonts w:hint="eastAsia" w:ascii="Times New Roman" w:hAnsi="Times New Roman" w:eastAsia="宋体" w:cs="宋体"/>
                <w:kern w:val="0"/>
                <w:sz w:val="21"/>
                <w:szCs w:val="21"/>
                <w:lang w:val="en-US" w:eastAsia="zh-CN" w:bidi="ar"/>
              </w:rPr>
              <w:t>号）《住房城乡建设部</w:t>
            </w:r>
            <w:r>
              <w:rPr>
                <w:rFonts w:hint="default" w:ascii="Times New Roman" w:hAnsi="Times New Roman" w:eastAsia="宋体" w:cs="Times New Roman"/>
                <w:kern w:val="0"/>
                <w:sz w:val="21"/>
                <w:szCs w:val="21"/>
                <w:lang w:val="en-US" w:eastAsia="zh-CN" w:bidi="ar"/>
              </w:rPr>
              <w:t xml:space="preserve"> </w:t>
            </w:r>
            <w:r>
              <w:rPr>
                <w:rFonts w:hint="eastAsia" w:ascii="Times New Roman" w:hAnsi="Times New Roman" w:eastAsia="宋体" w:cs="宋体"/>
                <w:kern w:val="0"/>
                <w:sz w:val="21"/>
                <w:szCs w:val="21"/>
                <w:lang w:val="en-US" w:eastAsia="zh-CN" w:bidi="ar"/>
              </w:rPr>
              <w:t>财政部关于印发建设工程质量保证金管理办法的通知》（建质〔</w:t>
            </w:r>
            <w:r>
              <w:rPr>
                <w:rFonts w:hint="default" w:ascii="Times New Roman" w:hAnsi="Times New Roman" w:eastAsia="宋体" w:cs="Times New Roman"/>
                <w:kern w:val="0"/>
                <w:sz w:val="21"/>
                <w:szCs w:val="21"/>
                <w:lang w:val="en-US" w:eastAsia="zh-CN" w:bidi="ar"/>
              </w:rPr>
              <w:t>2016</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295</w:t>
            </w:r>
            <w:r>
              <w:rPr>
                <w:rFonts w:hint="eastAsia" w:ascii="Times New Roman" w:hAnsi="Times New Roman" w:eastAsia="宋体" w:cs="宋体"/>
                <w:kern w:val="0"/>
                <w:sz w:val="21"/>
                <w:szCs w:val="21"/>
                <w:lang w:val="en-US" w:eastAsia="zh-CN" w:bidi="ar"/>
              </w:rPr>
              <w:t>号）</w:t>
            </w:r>
          </w:p>
        </w:tc>
        <w:tc>
          <w:tcPr>
            <w:tcW w:w="2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保证金预留比例由发包人与承包人双方自行约定，但不得高于工程价款结算总额的</w:t>
            </w:r>
            <w:r>
              <w:rPr>
                <w:rFonts w:hint="default" w:ascii="Times New Roman" w:hAnsi="Times New Roman" w:eastAsia="宋体" w:cs="Times New Roman"/>
                <w:kern w:val="0"/>
                <w:sz w:val="21"/>
                <w:szCs w:val="21"/>
                <w:lang w:val="en-US" w:eastAsia="zh-CN" w:bidi="ar"/>
              </w:rPr>
              <w:t>3%</w:t>
            </w:r>
            <w:r>
              <w:rPr>
                <w:rFonts w:hint="eastAsia" w:ascii="Times New Roman" w:hAnsi="Times New Roman" w:eastAsia="宋体" w:cs="宋体"/>
                <w:kern w:val="0"/>
                <w:sz w:val="21"/>
                <w:szCs w:val="21"/>
                <w:lang w:val="en-US" w:eastAsia="zh-CN" w:bidi="ar"/>
              </w:rPr>
              <w:t>。</w:t>
            </w:r>
          </w:p>
        </w:tc>
        <w:tc>
          <w:tcPr>
            <w:tcW w:w="2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缺陷责任期结束后，承包人可向发包人提出返还保证金申请。发包人在接到承包人返还保证金申请后，应于</w:t>
            </w:r>
            <w:r>
              <w:rPr>
                <w:rFonts w:hint="default" w:ascii="Times New Roman" w:hAnsi="Times New Roman" w:eastAsia="宋体" w:cs="Times New Roman"/>
                <w:kern w:val="0"/>
                <w:sz w:val="21"/>
                <w:szCs w:val="21"/>
                <w:lang w:val="en-US" w:eastAsia="zh-CN" w:bidi="ar"/>
              </w:rPr>
              <w:t>14</w:t>
            </w:r>
            <w:r>
              <w:rPr>
                <w:rFonts w:hint="eastAsia" w:ascii="Times New Roman" w:hAnsi="Times New Roman" w:eastAsia="宋体" w:cs="宋体"/>
                <w:kern w:val="0"/>
                <w:sz w:val="21"/>
                <w:szCs w:val="21"/>
                <w:lang w:val="en-US" w:eastAsia="zh-CN" w:bidi="ar"/>
              </w:rPr>
              <w:t>天内会同承包人按照合同约定的内容进行核实。如无异议，发包人应当按照约定将保证金返还给承包人。</w:t>
            </w:r>
          </w:p>
        </w:tc>
      </w:tr>
      <w:tr>
        <w:tblPrEx>
          <w:shd w:val="clear" w:color="auto" w:fill="auto"/>
          <w:tblCellMar>
            <w:top w:w="0" w:type="dxa"/>
            <w:left w:w="108" w:type="dxa"/>
            <w:bottom w:w="0" w:type="dxa"/>
            <w:right w:w="108" w:type="dxa"/>
          </w:tblCellMar>
        </w:tblPrEx>
        <w:trPr>
          <w:trHeight w:val="4938"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center"/>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Times New Roman"/>
                <w:kern w:val="0"/>
                <w:sz w:val="21"/>
                <w:szCs w:val="21"/>
                <w:lang w:val="en-US" w:eastAsia="zh-CN" w:bidi="ar"/>
              </w:rPr>
              <w:t>4</w:t>
            </w:r>
          </w:p>
        </w:tc>
        <w:tc>
          <w:tcPr>
            <w:tcW w:w="9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left"/>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宋体"/>
                <w:kern w:val="0"/>
                <w:sz w:val="21"/>
                <w:szCs w:val="21"/>
                <w:lang w:val="en-US" w:eastAsia="zh-CN" w:bidi="ar"/>
              </w:rPr>
              <w:t>工资保证金</w:t>
            </w:r>
          </w:p>
        </w:tc>
        <w:tc>
          <w:tcPr>
            <w:tcW w:w="11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left"/>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宋体"/>
                <w:kern w:val="0"/>
                <w:sz w:val="21"/>
                <w:szCs w:val="21"/>
                <w:lang w:val="en-US" w:eastAsia="zh-CN" w:bidi="ar"/>
              </w:rPr>
              <w:t>人力资源社会保障部、住房城乡建设部</w:t>
            </w:r>
          </w:p>
        </w:tc>
        <w:tc>
          <w:tcPr>
            <w:tcW w:w="36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left"/>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宋体"/>
                <w:kern w:val="0"/>
                <w:sz w:val="21"/>
                <w:szCs w:val="21"/>
                <w:lang w:val="en-US" w:eastAsia="zh-CN" w:bidi="ar"/>
              </w:rPr>
              <w:t>《国务院关于解决农民工问题的若干意见》（国发〔</w:t>
            </w:r>
            <w:r>
              <w:rPr>
                <w:rFonts w:hint="default" w:ascii="Times New Roman" w:hAnsi="Times New Roman" w:eastAsia="宋体" w:cs="Times New Roman"/>
                <w:kern w:val="0"/>
                <w:sz w:val="21"/>
                <w:szCs w:val="21"/>
                <w:lang w:val="en-US" w:eastAsia="zh-CN" w:bidi="ar"/>
              </w:rPr>
              <w:t>2006</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5</w:t>
            </w:r>
            <w:r>
              <w:rPr>
                <w:rFonts w:hint="eastAsia" w:ascii="Times New Roman" w:hAnsi="Times New Roman" w:eastAsia="宋体" w:cs="宋体"/>
                <w:kern w:val="0"/>
                <w:sz w:val="21"/>
                <w:szCs w:val="21"/>
                <w:lang w:val="en-US" w:eastAsia="zh-CN" w:bidi="ar"/>
              </w:rPr>
              <w:t>号）《国务院办公厅转发解决企业工资拖欠问题部际联席会议关于推进企业解决工资拖欠问题若干意见的通知》（国办发〔</w:t>
            </w:r>
            <w:r>
              <w:rPr>
                <w:rFonts w:hint="default" w:ascii="Times New Roman" w:hAnsi="Times New Roman" w:eastAsia="宋体" w:cs="Times New Roman"/>
                <w:kern w:val="0"/>
                <w:sz w:val="21"/>
                <w:szCs w:val="21"/>
                <w:lang w:val="en-US" w:eastAsia="zh-CN" w:bidi="ar"/>
              </w:rPr>
              <w:t>2006</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91</w:t>
            </w:r>
            <w:r>
              <w:rPr>
                <w:rFonts w:hint="eastAsia" w:ascii="Times New Roman" w:hAnsi="Times New Roman" w:eastAsia="宋体" w:cs="宋体"/>
                <w:kern w:val="0"/>
                <w:sz w:val="21"/>
                <w:szCs w:val="21"/>
                <w:lang w:val="en-US" w:eastAsia="zh-CN" w:bidi="ar"/>
              </w:rPr>
              <w:t>号）《国务院办公厅关于全面治理拖欠农民工工资问题的意见》（国办发〔</w:t>
            </w:r>
            <w:r>
              <w:rPr>
                <w:rFonts w:hint="default" w:ascii="Times New Roman" w:hAnsi="Times New Roman" w:eastAsia="宋体" w:cs="Times New Roman"/>
                <w:kern w:val="0"/>
                <w:sz w:val="21"/>
                <w:szCs w:val="21"/>
                <w:lang w:val="en-US" w:eastAsia="zh-CN" w:bidi="ar"/>
              </w:rPr>
              <w:t>2016</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w:t>
            </w:r>
            <w:r>
              <w:rPr>
                <w:rFonts w:hint="eastAsia" w:ascii="Times New Roman" w:hAnsi="Times New Roman" w:eastAsia="宋体" w:cs="宋体"/>
                <w:kern w:val="0"/>
                <w:sz w:val="21"/>
                <w:szCs w:val="21"/>
                <w:lang w:val="en-US" w:eastAsia="zh-CN" w:bidi="ar"/>
              </w:rPr>
              <w:t>号）劳动和社会保障部</w:t>
            </w:r>
            <w:r>
              <w:rPr>
                <w:rFonts w:hint="default" w:ascii="Times New Roman" w:hAnsi="Times New Roman" w:eastAsia="宋体" w:cs="Times New Roman"/>
                <w:kern w:val="0"/>
                <w:sz w:val="21"/>
                <w:szCs w:val="21"/>
                <w:lang w:val="en-US" w:eastAsia="zh-CN" w:bidi="ar"/>
              </w:rPr>
              <w:t xml:space="preserve"> </w:t>
            </w:r>
            <w:r>
              <w:rPr>
                <w:rFonts w:hint="eastAsia" w:ascii="Times New Roman" w:hAnsi="Times New Roman" w:eastAsia="宋体" w:cs="宋体"/>
                <w:kern w:val="0"/>
                <w:sz w:val="21"/>
                <w:szCs w:val="21"/>
                <w:lang w:val="en-US" w:eastAsia="zh-CN" w:bidi="ar"/>
              </w:rPr>
              <w:t>建设部《建设领域农民工工资支付管理暂行办法》（劳社部发〔</w:t>
            </w:r>
            <w:r>
              <w:rPr>
                <w:rFonts w:hint="default" w:ascii="Times New Roman" w:hAnsi="Times New Roman" w:eastAsia="宋体" w:cs="Times New Roman"/>
                <w:kern w:val="0"/>
                <w:sz w:val="21"/>
                <w:szCs w:val="21"/>
                <w:lang w:val="en-US" w:eastAsia="zh-CN" w:bidi="ar"/>
              </w:rPr>
              <w:t>2004</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22</w:t>
            </w:r>
            <w:r>
              <w:rPr>
                <w:rFonts w:hint="eastAsia" w:ascii="Times New Roman" w:hAnsi="Times New Roman" w:eastAsia="宋体" w:cs="宋体"/>
                <w:kern w:val="0"/>
                <w:sz w:val="21"/>
                <w:szCs w:val="21"/>
                <w:lang w:val="en-US" w:eastAsia="zh-CN" w:bidi="ar"/>
              </w:rPr>
              <w:t>号）省劳动和社会保障厅、省建设厅《关于建立建筑行业农民工工资保障金制度切实解决建筑企业拖欠农民工工资的通知》（豫劳社监察〔</w:t>
            </w:r>
            <w:r>
              <w:rPr>
                <w:rFonts w:hint="default" w:ascii="Times New Roman" w:hAnsi="Times New Roman" w:eastAsia="宋体" w:cs="Times New Roman"/>
                <w:kern w:val="0"/>
                <w:sz w:val="21"/>
                <w:szCs w:val="21"/>
                <w:lang w:val="en-US" w:eastAsia="zh-CN" w:bidi="ar"/>
              </w:rPr>
              <w:t>2003</w:t>
            </w:r>
            <w:r>
              <w:rPr>
                <w:rFonts w:hint="eastAsia" w:ascii="Times New Roman" w:hAnsi="Times New Roman"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19</w:t>
            </w:r>
            <w:r>
              <w:rPr>
                <w:rFonts w:hint="eastAsia" w:ascii="Times New Roman" w:hAnsi="Times New Roman" w:eastAsia="宋体" w:cs="宋体"/>
                <w:kern w:val="0"/>
                <w:sz w:val="21"/>
                <w:szCs w:val="21"/>
                <w:lang w:val="en-US" w:eastAsia="zh-CN" w:bidi="ar"/>
              </w:rPr>
              <w:t>号）</w:t>
            </w:r>
          </w:p>
        </w:tc>
        <w:tc>
          <w:tcPr>
            <w:tcW w:w="22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left"/>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宋体"/>
                <w:kern w:val="0"/>
                <w:sz w:val="21"/>
                <w:szCs w:val="21"/>
                <w:lang w:val="en-US" w:eastAsia="zh-CN" w:bidi="ar"/>
              </w:rPr>
              <w:t>工程建设领域农民工工资保证金为工程中标价的</w:t>
            </w:r>
            <w:r>
              <w:rPr>
                <w:rFonts w:hint="default" w:ascii="Times New Roman" w:hAnsi="Times New Roman" w:eastAsia="宋体" w:cs="Times New Roman"/>
                <w:kern w:val="0"/>
                <w:sz w:val="21"/>
                <w:szCs w:val="21"/>
                <w:lang w:val="en-US" w:eastAsia="zh-CN" w:bidi="ar"/>
              </w:rPr>
              <w:t>0.5%-2%</w:t>
            </w:r>
            <w:r>
              <w:rPr>
                <w:rFonts w:hint="eastAsia" w:ascii="Times New Roman" w:hAnsi="Times New Roman" w:eastAsia="宋体" w:cs="宋体"/>
                <w:kern w:val="0"/>
                <w:sz w:val="21"/>
                <w:szCs w:val="21"/>
                <w:lang w:val="en-US" w:eastAsia="zh-CN" w:bidi="ar"/>
              </w:rPr>
              <w:t>。</w:t>
            </w:r>
          </w:p>
        </w:tc>
        <w:tc>
          <w:tcPr>
            <w:tcW w:w="28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left"/>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宋体"/>
                <w:kern w:val="0"/>
                <w:sz w:val="21"/>
                <w:szCs w:val="21"/>
                <w:lang w:val="en-US" w:eastAsia="zh-CN" w:bidi="ar"/>
              </w:rPr>
              <w:t>具体征收程序由地方法规规章、规范性文件设定并组织实施。工程建设领域农民工工资保证金为工程建设单位与承建施工企业签订正式合同后，建设单位和承建施工企业应及时将农民工工资保障金足额存入建设工程招投标办公室指定的帐户，持银行凭证方可到建设行政主管部门申办建筑施工许可证，同时到劳动保障行政部门登记备案。</w:t>
            </w:r>
          </w:p>
        </w:tc>
        <w:tc>
          <w:tcPr>
            <w:tcW w:w="29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leftChars="0" w:right="0" w:rightChars="0"/>
              <w:jc w:val="left"/>
              <w:rPr>
                <w:rFonts w:hint="default" w:asciiTheme="minorHAnsi" w:hAnsiTheme="minorHAnsi" w:eastAsiaTheme="minorEastAsia" w:cstheme="minorBidi"/>
                <w:kern w:val="0"/>
                <w:sz w:val="21"/>
                <w:szCs w:val="21"/>
                <w:lang w:val="en-US" w:eastAsia="zh-CN" w:bidi="ar-SA"/>
              </w:rPr>
            </w:pPr>
            <w:r>
              <w:rPr>
                <w:rFonts w:hint="eastAsia" w:ascii="Times New Roman" w:hAnsi="Times New Roman" w:eastAsia="宋体" w:cs="宋体"/>
                <w:kern w:val="0"/>
                <w:sz w:val="21"/>
                <w:szCs w:val="21"/>
                <w:lang w:val="en-US" w:eastAsia="zh-CN" w:bidi="ar"/>
              </w:rPr>
              <w:t>工程完工后，该工程经公示无拖欠农民工工资问题，保障金连本带息一次性退还企业。</w:t>
            </w:r>
          </w:p>
        </w:tc>
      </w:tr>
    </w:tbl>
    <w:tbl>
      <w:tblPr>
        <w:tblStyle w:val="2"/>
        <w:tblpPr w:leftFromText="180" w:rightFromText="180" w:vertAnchor="text" w:tblpXSpec="center" w:tblpY="1"/>
        <w:tblOverlap w:val="never"/>
        <w:tblW w:w="14599" w:type="dxa"/>
        <w:tblInd w:w="189" w:type="dxa"/>
        <w:shd w:val="clear" w:color="auto" w:fill="auto"/>
        <w:tblLayout w:type="fixed"/>
        <w:tblCellMar>
          <w:top w:w="0" w:type="dxa"/>
          <w:left w:w="108" w:type="dxa"/>
          <w:bottom w:w="0" w:type="dxa"/>
          <w:right w:w="108" w:type="dxa"/>
        </w:tblCellMar>
      </w:tblPr>
      <w:tblGrid>
        <w:gridCol w:w="630"/>
        <w:gridCol w:w="1005"/>
        <w:gridCol w:w="1174"/>
        <w:gridCol w:w="3675"/>
        <w:gridCol w:w="2280"/>
        <w:gridCol w:w="2816"/>
        <w:gridCol w:w="3019"/>
      </w:tblGrid>
      <w:tr>
        <w:tblPrEx>
          <w:shd w:val="clear" w:color="auto" w:fill="auto"/>
          <w:tblCellMar>
            <w:top w:w="0" w:type="dxa"/>
            <w:left w:w="108" w:type="dxa"/>
            <w:bottom w:w="0" w:type="dxa"/>
            <w:right w:w="108" w:type="dxa"/>
          </w:tblCellMar>
        </w:tblPrEx>
        <w:trPr>
          <w:trHeight w:val="750" w:hRule="atLeast"/>
        </w:trPr>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序号</w:t>
            </w:r>
          </w:p>
        </w:tc>
        <w:tc>
          <w:tcPr>
            <w:tcW w:w="10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项目</w:t>
            </w:r>
            <w:r>
              <w:rPr>
                <w:rFonts w:hint="default" w:ascii="Times New Roman" w:hAnsi="Times New Roman" w:eastAsia="宋体" w:cs="Times New Roman"/>
                <w:b/>
                <w:kern w:val="0"/>
                <w:sz w:val="21"/>
                <w:szCs w:val="21"/>
                <w:lang w:val="en-US" w:eastAsia="zh-CN" w:bidi="ar"/>
              </w:rPr>
              <w:br w:type="textWrapping"/>
            </w:r>
            <w:r>
              <w:rPr>
                <w:rFonts w:hint="eastAsia" w:ascii="Times New Roman" w:hAnsi="Times New Roman" w:eastAsia="宋体" w:cs="宋体"/>
                <w:b/>
                <w:kern w:val="0"/>
                <w:sz w:val="21"/>
                <w:szCs w:val="21"/>
                <w:lang w:val="en-US" w:eastAsia="zh-CN" w:bidi="ar"/>
              </w:rPr>
              <w:t>名称</w:t>
            </w:r>
          </w:p>
        </w:tc>
        <w:tc>
          <w:tcPr>
            <w:tcW w:w="11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设立</w:t>
            </w:r>
            <w:r>
              <w:rPr>
                <w:rFonts w:hint="default" w:ascii="Times New Roman" w:hAnsi="Times New Roman" w:eastAsia="宋体" w:cs="Times New Roman"/>
                <w:b/>
                <w:kern w:val="0"/>
                <w:sz w:val="21"/>
                <w:szCs w:val="21"/>
                <w:lang w:val="en-US" w:eastAsia="zh-CN" w:bidi="ar"/>
              </w:rPr>
              <w:br w:type="textWrapping"/>
            </w:r>
            <w:r>
              <w:rPr>
                <w:rFonts w:hint="eastAsia" w:ascii="Times New Roman" w:hAnsi="Times New Roman" w:eastAsia="宋体" w:cs="宋体"/>
                <w:b/>
                <w:kern w:val="0"/>
                <w:sz w:val="21"/>
                <w:szCs w:val="21"/>
                <w:lang w:val="en-US" w:eastAsia="zh-CN" w:bidi="ar"/>
              </w:rPr>
              <w:t>单位</w:t>
            </w: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设立依据</w:t>
            </w:r>
          </w:p>
        </w:tc>
        <w:tc>
          <w:tcPr>
            <w:tcW w:w="2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征收标准</w:t>
            </w:r>
          </w:p>
        </w:tc>
        <w:tc>
          <w:tcPr>
            <w:tcW w:w="28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征收程序</w:t>
            </w:r>
          </w:p>
        </w:tc>
        <w:tc>
          <w:tcPr>
            <w:tcW w:w="3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b/>
                <w:kern w:val="0"/>
                <w:szCs w:val="21"/>
                <w:lang w:val="en-US"/>
              </w:rPr>
            </w:pPr>
            <w:r>
              <w:rPr>
                <w:rFonts w:hint="eastAsia" w:ascii="Times New Roman" w:hAnsi="Times New Roman" w:eastAsia="宋体" w:cs="宋体"/>
                <w:b/>
                <w:kern w:val="0"/>
                <w:sz w:val="21"/>
                <w:szCs w:val="21"/>
                <w:lang w:val="en-US" w:eastAsia="zh-CN" w:bidi="ar"/>
              </w:rPr>
              <w:t>返还时间</w:t>
            </w:r>
          </w:p>
        </w:tc>
      </w:tr>
      <w:tr>
        <w:tblPrEx>
          <w:shd w:val="clear" w:color="auto" w:fill="auto"/>
          <w:tblCellMar>
            <w:top w:w="0" w:type="dxa"/>
            <w:left w:w="108" w:type="dxa"/>
            <w:bottom w:w="0" w:type="dxa"/>
            <w:right w:w="108" w:type="dxa"/>
          </w:tblCellMar>
        </w:tblPrEx>
        <w:trPr>
          <w:trHeight w:val="7304" w:hRule="atLeast"/>
        </w:trPr>
        <w:tc>
          <w:tcPr>
            <w:tcW w:w="6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kern w:val="0"/>
                <w:szCs w:val="21"/>
                <w:lang w:val="en-US"/>
              </w:rPr>
            </w:pPr>
            <w:r>
              <w:rPr>
                <w:rFonts w:hint="eastAsia" w:ascii="Times New Roman" w:hAnsi="Times New Roman" w:eastAsia="宋体" w:cs="Times New Roman"/>
                <w:kern w:val="0"/>
                <w:sz w:val="21"/>
                <w:szCs w:val="21"/>
                <w:lang w:val="en-US" w:eastAsia="zh-CN" w:bidi="ar"/>
              </w:rPr>
              <w:t>5</w:t>
            </w: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旅游服务质量保证金</w:t>
            </w:r>
          </w:p>
        </w:tc>
        <w:tc>
          <w:tcPr>
            <w:tcW w:w="11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旅游局</w:t>
            </w:r>
          </w:p>
        </w:tc>
        <w:tc>
          <w:tcPr>
            <w:tcW w:w="3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《中华人民共和国旅游法》《旅行社条例》</w:t>
            </w:r>
          </w:p>
        </w:tc>
        <w:tc>
          <w:tcPr>
            <w:tcW w:w="2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经营国内旅游业务和入境旅游业务的旅行社，应当存入旅游服务质量保证金人民币</w:t>
            </w:r>
            <w:r>
              <w:rPr>
                <w:rFonts w:hint="default" w:ascii="Times New Roman" w:hAnsi="Times New Roman" w:eastAsia="宋体" w:cs="Times New Roman"/>
                <w:kern w:val="0"/>
                <w:sz w:val="21"/>
                <w:szCs w:val="21"/>
                <w:lang w:val="en-US" w:eastAsia="zh-CN" w:bidi="ar"/>
              </w:rPr>
              <w:t>20</w:t>
            </w:r>
            <w:r>
              <w:rPr>
                <w:rFonts w:hint="eastAsia" w:ascii="Times New Roman" w:hAnsi="Times New Roman" w:eastAsia="宋体" w:cs="宋体"/>
                <w:kern w:val="0"/>
                <w:sz w:val="21"/>
                <w:szCs w:val="21"/>
                <w:lang w:val="en-US" w:eastAsia="zh-CN" w:bidi="ar"/>
              </w:rPr>
              <w:t>万元；经营出境旅游业务的旅行社，应当增存旅游服务质量保证金人民币</w:t>
            </w:r>
            <w:r>
              <w:rPr>
                <w:rFonts w:hint="default" w:ascii="Times New Roman" w:hAnsi="Times New Roman" w:eastAsia="宋体" w:cs="Times New Roman"/>
                <w:kern w:val="0"/>
                <w:sz w:val="21"/>
                <w:szCs w:val="21"/>
                <w:lang w:val="en-US" w:eastAsia="zh-CN" w:bidi="ar"/>
              </w:rPr>
              <w:t>120</w:t>
            </w:r>
            <w:r>
              <w:rPr>
                <w:rFonts w:hint="eastAsia" w:ascii="Times New Roman" w:hAnsi="Times New Roman" w:eastAsia="宋体" w:cs="宋体"/>
                <w:kern w:val="0"/>
                <w:sz w:val="21"/>
                <w:szCs w:val="21"/>
                <w:lang w:val="en-US" w:eastAsia="zh-CN" w:bidi="ar"/>
              </w:rPr>
              <w:t>万元。旅行社每设立一个经营国内旅游业务和入境旅游业务的分社，应当向其保证金账户增存人民币</w:t>
            </w:r>
            <w:r>
              <w:rPr>
                <w:rFonts w:hint="default" w:ascii="Times New Roman" w:hAnsi="Times New Roman" w:eastAsia="宋体" w:cs="Times New Roman"/>
                <w:kern w:val="0"/>
                <w:sz w:val="21"/>
                <w:szCs w:val="21"/>
                <w:lang w:val="en-US" w:eastAsia="zh-CN" w:bidi="ar"/>
              </w:rPr>
              <w:t>5</w:t>
            </w:r>
            <w:r>
              <w:rPr>
                <w:rFonts w:hint="eastAsia" w:ascii="Times New Roman" w:hAnsi="Times New Roman" w:eastAsia="宋体" w:cs="宋体"/>
                <w:kern w:val="0"/>
                <w:sz w:val="21"/>
                <w:szCs w:val="21"/>
                <w:lang w:val="en-US" w:eastAsia="zh-CN" w:bidi="ar"/>
              </w:rPr>
              <w:t>万元；每设立一个经营出镜旅游业务的分社，应当向其保证金账户增存人民币</w:t>
            </w:r>
            <w:r>
              <w:rPr>
                <w:rFonts w:hint="default" w:ascii="Times New Roman" w:hAnsi="Times New Roman" w:eastAsia="宋体" w:cs="Times New Roman"/>
                <w:kern w:val="0"/>
                <w:sz w:val="21"/>
                <w:szCs w:val="21"/>
                <w:lang w:val="en-US" w:eastAsia="zh-CN" w:bidi="ar"/>
              </w:rPr>
              <w:t>30</w:t>
            </w:r>
            <w:r>
              <w:rPr>
                <w:rFonts w:hint="eastAsia" w:ascii="Times New Roman" w:hAnsi="Times New Roman" w:eastAsia="宋体" w:cs="宋体"/>
                <w:kern w:val="0"/>
                <w:sz w:val="21"/>
                <w:szCs w:val="21"/>
                <w:lang w:val="en-US" w:eastAsia="zh-CN" w:bidi="ar"/>
              </w:rPr>
              <w:t>万元。</w:t>
            </w:r>
          </w:p>
        </w:tc>
        <w:tc>
          <w:tcPr>
            <w:tcW w:w="28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旅行社应当自取得旅行社业务经营许可证之日起</w:t>
            </w:r>
            <w:r>
              <w:rPr>
                <w:rFonts w:hint="default" w:ascii="Times New Roman" w:hAnsi="Times New Roman" w:eastAsia="宋体" w:cs="Times New Roman"/>
                <w:kern w:val="0"/>
                <w:sz w:val="21"/>
                <w:szCs w:val="21"/>
                <w:lang w:val="en-US" w:eastAsia="zh-CN" w:bidi="ar"/>
              </w:rPr>
              <w:t>3</w:t>
            </w:r>
            <w:r>
              <w:rPr>
                <w:rFonts w:hint="eastAsia" w:ascii="Times New Roman" w:hAnsi="Times New Roman" w:eastAsia="宋体" w:cs="宋体"/>
                <w:kern w:val="0"/>
                <w:sz w:val="21"/>
                <w:szCs w:val="21"/>
                <w:lang w:val="en-US" w:eastAsia="zh-CN" w:bidi="ar"/>
              </w:rPr>
              <w:t>个工作日内，在国务院旅游行政主管部门指定的银行开设专门的旅游服务质量保证金账户，存入旅游服务质量保证金，或者向做出许可的旅游行政管理部门提交依法取得的担保额度不低于相应保证金数额的银行担保。</w:t>
            </w:r>
          </w:p>
        </w:tc>
        <w:tc>
          <w:tcPr>
            <w:tcW w:w="30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default"/>
                <w:kern w:val="0"/>
                <w:szCs w:val="21"/>
                <w:lang w:val="en-US"/>
              </w:rPr>
            </w:pPr>
            <w:r>
              <w:rPr>
                <w:rFonts w:hint="eastAsia" w:ascii="Times New Roman" w:hAnsi="Times New Roman" w:eastAsia="宋体" w:cs="宋体"/>
                <w:kern w:val="0"/>
                <w:sz w:val="21"/>
                <w:szCs w:val="21"/>
                <w:lang w:val="en-US" w:eastAsia="zh-CN" w:bidi="ar"/>
              </w:rPr>
              <w:t>旅行社自交纳或者补足旅游服务质量保证金之日起三年内未因侵害旅游者合法权益受到行政机关罚款以上处罚的，旅游行政管理部门应当将保证金的交存数额降低</w:t>
            </w:r>
            <w:r>
              <w:rPr>
                <w:rFonts w:hint="default" w:ascii="Times New Roman" w:hAnsi="Times New Roman" w:eastAsia="宋体" w:cs="Times New Roman"/>
                <w:kern w:val="0"/>
                <w:sz w:val="21"/>
                <w:szCs w:val="21"/>
                <w:lang w:val="en-US" w:eastAsia="zh-CN" w:bidi="ar"/>
              </w:rPr>
              <w:t>50%</w:t>
            </w:r>
            <w:r>
              <w:rPr>
                <w:rFonts w:hint="eastAsia" w:ascii="Times New Roman" w:hAnsi="Times New Roman" w:eastAsia="宋体" w:cs="宋体"/>
                <w:kern w:val="0"/>
                <w:sz w:val="21"/>
                <w:szCs w:val="21"/>
                <w:lang w:val="en-US" w:eastAsia="zh-CN" w:bidi="ar"/>
              </w:rPr>
              <w:t>，并向社会公告。旅行社可凭省、自治区、直辖市旅游行政管理部门出具的凭证减少其保证金。旅行社不再从事旅游业务的，凭旅游行政管理部门出具的凭证，向银行取回保证金。</w:t>
            </w:r>
          </w:p>
        </w:tc>
      </w:tr>
    </w:tbl>
    <w:p>
      <w:pPr>
        <w:rPr>
          <w:rFonts w:hint="default" w:ascii="Times New Roman" w:hAnsi="Times New Roman" w:eastAsia="仿宋_GB2312" w:cs="Times New Roman"/>
          <w:spacing w:val="80"/>
          <w:kern w:val="2"/>
          <w:sz w:val="30"/>
          <w:szCs w:val="30"/>
          <w:lang w:val="en-US" w:eastAsia="zh-CN" w:bidi="ar"/>
        </w:rPr>
      </w:pPr>
    </w:p>
    <w:p>
      <w:pPr>
        <w:tabs>
          <w:tab w:val="left" w:pos="775"/>
        </w:tabs>
        <w:bidi w:val="0"/>
        <w:jc w:val="left"/>
        <w:rPr>
          <w:rFonts w:hint="default" w:asciiTheme="minorHAnsi" w:hAnsiTheme="minorHAnsi" w:eastAsiaTheme="minorEastAsia" w:cstheme="minorBidi"/>
          <w:kern w:val="2"/>
          <w:sz w:val="21"/>
          <w:szCs w:val="24"/>
          <w:lang w:val="en-US" w:eastAsia="zh-CN" w:bidi="ar-SA"/>
        </w:rPr>
        <w:sectPr>
          <w:pgSz w:w="16838" w:h="11906" w:orient="landscape"/>
          <w:pgMar w:top="1418" w:right="873" w:bottom="1418" w:left="873" w:header="851" w:footer="1304" w:gutter="0"/>
          <w:pgNumType w:start="3"/>
          <w:cols w:space="425" w:num="1"/>
          <w:docGrid w:type="lines" w:linePitch="312" w:charSpace="0"/>
        </w:sectPr>
      </w:pPr>
      <w:r>
        <w:rPr>
          <w:rFonts w:hint="eastAsia" w:cstheme="minorBidi"/>
          <w:kern w:val="2"/>
          <w:sz w:val="21"/>
          <w:szCs w:val="24"/>
          <w:lang w:val="en-US" w:eastAsia="zh-CN" w:bidi="ar-SA"/>
        </w:rPr>
        <w:tab/>
      </w:r>
    </w:p>
    <w:p>
      <w:pPr>
        <w:pStyle w:val="32"/>
      </w:pPr>
      <w:r>
        <w:t>窗体顶端</w:t>
      </w:r>
    </w:p>
    <w:p>
      <w:pPr>
        <w:pStyle w:val="33"/>
      </w:pPr>
      <w:r>
        <w:t>窗体底端</w:t>
      </w:r>
    </w:p>
    <w:sectPr>
      <w:pgSz w:w="16783" w:h="11850" w:orient="landscape"/>
      <w:pgMar w:top="1417" w:right="873" w:bottom="1417" w:left="873"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4EDE"/>
    <w:rsid w:val="0454513C"/>
    <w:rsid w:val="06C12994"/>
    <w:rsid w:val="0A241659"/>
    <w:rsid w:val="1750201B"/>
    <w:rsid w:val="308A416F"/>
    <w:rsid w:val="329F6FAA"/>
    <w:rsid w:val="38C928A7"/>
    <w:rsid w:val="4D250F94"/>
    <w:rsid w:val="520E3A88"/>
    <w:rsid w:val="52341678"/>
    <w:rsid w:val="56390EC0"/>
    <w:rsid w:val="722717B1"/>
    <w:rsid w:val="729515A8"/>
    <w:rsid w:val="7BE629B5"/>
    <w:rsid w:val="7CD25C2B"/>
    <w:rsid w:val="7F486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Emphasis"/>
    <w:basedOn w:val="3"/>
    <w:qFormat/>
    <w:uiPriority w:val="0"/>
    <w:rPr>
      <w:color w:val="E4151F"/>
    </w:rPr>
  </w:style>
  <w:style w:type="character" w:styleId="6">
    <w:name w:val="Hyperlink"/>
    <w:basedOn w:val="3"/>
    <w:qFormat/>
    <w:uiPriority w:val="0"/>
    <w:rPr>
      <w:color w:val="333333"/>
      <w:u w:val="none"/>
    </w:rPr>
  </w:style>
  <w:style w:type="paragraph" w:customStyle="1" w:styleId="7">
    <w:name w:val="大标题"/>
    <w:basedOn w:val="1"/>
    <w:qFormat/>
    <w:uiPriority w:val="0"/>
    <w:pPr>
      <w:keepNext w:val="0"/>
      <w:keepLines w:val="0"/>
      <w:widowControl w:val="0"/>
      <w:suppressLineNumbers w:val="0"/>
      <w:spacing w:before="0" w:beforeAutospacing="0" w:after="0" w:afterAutospacing="0" w:line="620" w:lineRule="exact"/>
      <w:ind w:left="0" w:right="0"/>
      <w:jc w:val="center"/>
    </w:pPr>
    <w:rPr>
      <w:rFonts w:hint="default" w:ascii="Times New Roman" w:hAnsi="Times New Roman" w:eastAsia="长城小标宋体" w:cs="宋体"/>
      <w:b/>
      <w:kern w:val="2"/>
      <w:sz w:val="42"/>
      <w:szCs w:val="20"/>
      <w:lang w:val="en-US" w:eastAsia="zh-CN" w:bidi="ar"/>
    </w:rPr>
  </w:style>
  <w:style w:type="character" w:customStyle="1" w:styleId="8">
    <w:name w:val="current"/>
    <w:basedOn w:val="3"/>
    <w:qFormat/>
    <w:uiPriority w:val="0"/>
    <w:rPr>
      <w:b/>
      <w:color w:val="99210B"/>
    </w:rPr>
  </w:style>
  <w:style w:type="character" w:customStyle="1" w:styleId="9">
    <w:name w:val="disabled"/>
    <w:basedOn w:val="3"/>
    <w:qFormat/>
    <w:uiPriority w:val="0"/>
    <w:rPr>
      <w:color w:val="ADAAAD"/>
    </w:rPr>
  </w:style>
  <w:style w:type="character" w:customStyle="1" w:styleId="10">
    <w:name w:val="disabled1"/>
    <w:basedOn w:val="3"/>
    <w:qFormat/>
    <w:uiPriority w:val="0"/>
    <w:rPr>
      <w:b/>
      <w:color w:val="FFFFFF"/>
      <w:bdr w:val="single" w:color="000099" w:sz="6" w:space="0"/>
      <w:shd w:val="clear" w:fill="000099"/>
    </w:rPr>
  </w:style>
  <w:style w:type="character" w:customStyle="1" w:styleId="11">
    <w:name w:val="disabled2"/>
    <w:basedOn w:val="3"/>
    <w:qFormat/>
    <w:uiPriority w:val="0"/>
    <w:rPr>
      <w:b/>
      <w:color w:val="000000"/>
      <w:bdr w:val="single" w:color="E89954" w:sz="6" w:space="0"/>
      <w:shd w:val="clear" w:fill="FFCA7D"/>
    </w:rPr>
  </w:style>
  <w:style w:type="character" w:customStyle="1" w:styleId="12">
    <w:name w:val="disabled3"/>
    <w:basedOn w:val="3"/>
    <w:qFormat/>
    <w:uiPriority w:val="0"/>
    <w:rPr>
      <w:b/>
      <w:vanish/>
      <w:color w:val="000000"/>
      <w:shd w:val="clear" w:fill="4261DF"/>
    </w:rPr>
  </w:style>
  <w:style w:type="character" w:customStyle="1" w:styleId="13">
    <w:name w:val="disabled4"/>
    <w:basedOn w:val="3"/>
    <w:qFormat/>
    <w:uiPriority w:val="0"/>
    <w:rPr>
      <w:b/>
      <w:color w:val="FFFFFF"/>
      <w:bdr w:val="single" w:color="000080" w:sz="6" w:space="0"/>
      <w:shd w:val="clear" w:fill="2E6AB1"/>
    </w:rPr>
  </w:style>
  <w:style w:type="character" w:customStyle="1" w:styleId="14">
    <w:name w:val="disabled5"/>
    <w:basedOn w:val="3"/>
    <w:qFormat/>
    <w:uiPriority w:val="0"/>
    <w:rPr>
      <w:b/>
      <w:color w:val="FFFFFF"/>
      <w:shd w:val="clear" w:fill="313131"/>
    </w:rPr>
  </w:style>
  <w:style w:type="character" w:customStyle="1" w:styleId="15">
    <w:name w:val="disabled6"/>
    <w:basedOn w:val="3"/>
    <w:qFormat/>
    <w:uiPriority w:val="0"/>
    <w:rPr>
      <w:vanish/>
      <w:color w:val="6D643C"/>
      <w:shd w:val="clear" w:fill="F6EFCC"/>
    </w:rPr>
  </w:style>
  <w:style w:type="character" w:customStyle="1" w:styleId="16">
    <w:name w:val="disabled7"/>
    <w:basedOn w:val="3"/>
    <w:qFormat/>
    <w:uiPriority w:val="0"/>
    <w:rPr>
      <w:b/>
      <w:color w:val="AAAAAA"/>
      <w:bdr w:val="single" w:color="E0E0E0" w:sz="6" w:space="0"/>
      <w:shd w:val="clear" w:fill="F0F0F0"/>
    </w:rPr>
  </w:style>
  <w:style w:type="character" w:customStyle="1" w:styleId="17">
    <w:name w:val="disabled8"/>
    <w:basedOn w:val="3"/>
    <w:qFormat/>
    <w:uiPriority w:val="0"/>
    <w:rPr>
      <w:b/>
      <w:color w:val="FFFFFF"/>
      <w:shd w:val="clear" w:fill="000000"/>
    </w:rPr>
  </w:style>
  <w:style w:type="character" w:customStyle="1" w:styleId="18">
    <w:name w:val="disabled9"/>
    <w:basedOn w:val="3"/>
    <w:qFormat/>
    <w:uiPriority w:val="0"/>
    <w:rPr>
      <w:b/>
      <w:vanish/>
      <w:color w:val="000000"/>
      <w:bdr w:val="single" w:color="2B55AF" w:sz="6" w:space="0"/>
      <w:shd w:val="clear" w:fill="3666D4"/>
    </w:rPr>
  </w:style>
  <w:style w:type="character" w:customStyle="1" w:styleId="19">
    <w:name w:val="disabled10"/>
    <w:basedOn w:val="3"/>
    <w:qFormat/>
    <w:uiPriority w:val="0"/>
    <w:rPr>
      <w:b/>
      <w:color w:val="FFFFFF"/>
      <w:bdr w:val="single" w:color="B2E05D" w:sz="6" w:space="0"/>
      <w:shd w:val="clear" w:fill="B2E05D"/>
    </w:rPr>
  </w:style>
  <w:style w:type="character" w:customStyle="1" w:styleId="20">
    <w:name w:val="disabled11"/>
    <w:basedOn w:val="3"/>
    <w:qFormat/>
    <w:uiPriority w:val="0"/>
    <w:rPr>
      <w:b/>
      <w:color w:val="FF0084"/>
    </w:rPr>
  </w:style>
  <w:style w:type="character" w:customStyle="1" w:styleId="21">
    <w:name w:val="disabled12"/>
    <w:basedOn w:val="3"/>
    <w:qFormat/>
    <w:uiPriority w:val="0"/>
    <w:rPr>
      <w:b/>
      <w:color w:val="FFFFFF"/>
      <w:bdr w:val="single" w:color="AAD83E" w:sz="6" w:space="0"/>
      <w:shd w:val="clear" w:fill="AAD83E"/>
    </w:rPr>
  </w:style>
  <w:style w:type="character" w:customStyle="1" w:styleId="22">
    <w:name w:val="disabled13"/>
    <w:basedOn w:val="3"/>
    <w:qFormat/>
    <w:uiPriority w:val="0"/>
    <w:rPr>
      <w:b/>
      <w:color w:val="000000"/>
      <w:bdr w:val="single" w:color="FFFFFF" w:sz="6" w:space="0"/>
      <w:shd w:val="clear" w:fill="FFFFFF"/>
    </w:rPr>
  </w:style>
  <w:style w:type="character" w:customStyle="1" w:styleId="23">
    <w:name w:val="disabled14"/>
    <w:basedOn w:val="3"/>
    <w:qFormat/>
    <w:uiPriority w:val="0"/>
    <w:rPr>
      <w:b/>
      <w:color w:val="FFFFFF"/>
      <w:bdr w:val="single" w:color="D9D300" w:sz="6" w:space="0"/>
      <w:shd w:val="clear" w:fill="D9D300"/>
    </w:rPr>
  </w:style>
  <w:style w:type="character" w:customStyle="1" w:styleId="24">
    <w:name w:val="disabled15"/>
    <w:basedOn w:val="3"/>
    <w:qFormat/>
    <w:uiPriority w:val="0"/>
    <w:rPr>
      <w:b/>
      <w:color w:val="FFFFFF"/>
      <w:bdr w:val="single" w:color="FFFFFF" w:sz="6" w:space="0"/>
      <w:shd w:val="clear" w:fill="606060"/>
    </w:rPr>
  </w:style>
  <w:style w:type="character" w:customStyle="1" w:styleId="25">
    <w:name w:val="disabled16"/>
    <w:basedOn w:val="3"/>
    <w:qFormat/>
    <w:uiPriority w:val="0"/>
    <w:rPr>
      <w:b/>
      <w:color w:val="FF6500"/>
      <w:bdr w:val="single" w:color="FF6500" w:sz="6" w:space="0"/>
      <w:shd w:val="clear" w:fill="FFBE94"/>
    </w:rPr>
  </w:style>
  <w:style w:type="character" w:customStyle="1" w:styleId="26">
    <w:name w:val="disabled17"/>
    <w:basedOn w:val="3"/>
    <w:qFormat/>
    <w:uiPriority w:val="0"/>
    <w:rPr>
      <w:b/>
      <w:color w:val="FFFFFF"/>
      <w:bdr w:val="single" w:color="000000" w:sz="6" w:space="0"/>
      <w:shd w:val="clear" w:fill="000000"/>
    </w:rPr>
  </w:style>
  <w:style w:type="character" w:customStyle="1" w:styleId="27">
    <w:name w:val="disabled18"/>
    <w:basedOn w:val="3"/>
    <w:qFormat/>
    <w:uiPriority w:val="0"/>
    <w:rPr>
      <w:b/>
      <w:color w:val="303030"/>
      <w:shd w:val="clear" w:fill="FFFFFF"/>
    </w:rPr>
  </w:style>
  <w:style w:type="character" w:customStyle="1" w:styleId="28">
    <w:name w:val="disabled19"/>
    <w:basedOn w:val="3"/>
    <w:qFormat/>
    <w:uiPriority w:val="0"/>
    <w:rPr>
      <w:b/>
      <w:vanish/>
      <w:color w:val="000000"/>
      <w:bdr w:val="single" w:color="FFFFFF" w:sz="12" w:space="0"/>
      <w:shd w:val="clear" w:fill="FFFF00"/>
    </w:rPr>
  </w:style>
  <w:style w:type="character" w:customStyle="1" w:styleId="29">
    <w:name w:val="disabled20"/>
    <w:basedOn w:val="3"/>
    <w:qFormat/>
    <w:uiPriority w:val="0"/>
    <w:rPr>
      <w:vanish/>
      <w:color w:val="000000"/>
      <w:shd w:val="clear" w:fill="FFFFFF"/>
    </w:rPr>
  </w:style>
  <w:style w:type="character" w:customStyle="1" w:styleId="30">
    <w:name w:val="disabled21"/>
    <w:basedOn w:val="3"/>
    <w:qFormat/>
    <w:uiPriority w:val="0"/>
    <w:rPr>
      <w:b/>
      <w:vanish/>
      <w:color w:val="444444"/>
      <w:bdr w:val="single" w:color="B7D8EE" w:sz="6" w:space="0"/>
      <w:shd w:val="clear" w:fill="D2EAF6"/>
    </w:rPr>
  </w:style>
  <w:style w:type="character" w:customStyle="1" w:styleId="31">
    <w:name w:val="disabled22"/>
    <w:basedOn w:val="3"/>
    <w:qFormat/>
    <w:uiPriority w:val="0"/>
    <w:rPr>
      <w:b/>
      <w:vanish/>
      <w:color w:val="FFFFFF"/>
      <w:bdr w:val="single" w:color="FF5A00" w:sz="12" w:space="0"/>
      <w:shd w:val="clear" w:fill="FF6C16"/>
    </w:rPr>
  </w:style>
  <w:style w:type="paragraph" w:customStyle="1" w:styleId="32">
    <w:name w:val="_Style 31"/>
    <w:basedOn w:val="1"/>
    <w:next w:val="1"/>
    <w:qFormat/>
    <w:uiPriority w:val="0"/>
    <w:pPr>
      <w:pBdr>
        <w:bottom w:val="single" w:color="auto" w:sz="6" w:space="1"/>
      </w:pBdr>
      <w:jc w:val="center"/>
    </w:pPr>
    <w:rPr>
      <w:rFonts w:ascii="Arial" w:eastAsia="宋体"/>
      <w:vanish/>
      <w:sz w:val="16"/>
    </w:rPr>
  </w:style>
  <w:style w:type="paragraph" w:customStyle="1" w:styleId="33">
    <w:name w:val="_Style 32"/>
    <w:basedOn w:val="1"/>
    <w:next w:val="1"/>
    <w:qFormat/>
    <w:uiPriority w:val="0"/>
    <w:pPr>
      <w:pBdr>
        <w:top w:val="single" w:color="auto" w:sz="6" w:space="1"/>
      </w:pBdr>
      <w:jc w:val="center"/>
    </w:pPr>
    <w:rPr>
      <w:rFonts w:ascii="Arial" w:eastAsia="宋体"/>
      <w:vanish/>
      <w:sz w:val="16"/>
    </w:rPr>
  </w:style>
  <w:style w:type="character" w:customStyle="1" w:styleId="34">
    <w:name w:val="jsearch-result-date1"/>
    <w:basedOn w:val="3"/>
    <w:qFormat/>
    <w:uiPriority w:val="0"/>
    <w:rPr>
      <w:color w:val="969696"/>
      <w:sz w:val="19"/>
      <w:szCs w:val="1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早</cp:lastModifiedBy>
  <dcterms:modified xsi:type="dcterms:W3CDTF">2020-05-22T02:01:33Z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