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cs="MicrosoftYaHei" w:asciiTheme="minorEastAsia" w:hAnsiTheme="minorEastAsia" w:eastAsiaTheme="minorEastAsia"/>
          <w:b/>
          <w:bCs/>
          <w:kern w:val="0"/>
          <w:sz w:val="44"/>
          <w:szCs w:val="44"/>
        </w:rPr>
      </w:pPr>
    </w:p>
    <w:p>
      <w:pPr>
        <w:autoSpaceDE w:val="0"/>
        <w:autoSpaceDN w:val="0"/>
        <w:adjustRightInd w:val="0"/>
        <w:jc w:val="center"/>
        <w:rPr>
          <w:rFonts w:cs="MicrosoftYaHei" w:asciiTheme="minorEastAsia" w:hAnsiTheme="minorEastAsia" w:eastAsiaTheme="minorEastAsia"/>
          <w:b/>
          <w:bCs/>
          <w:kern w:val="0"/>
          <w:sz w:val="44"/>
          <w:szCs w:val="44"/>
        </w:rPr>
      </w:pPr>
    </w:p>
    <w:p>
      <w:pPr>
        <w:autoSpaceDE w:val="0"/>
        <w:autoSpaceDN w:val="0"/>
        <w:adjustRightInd w:val="0"/>
        <w:jc w:val="center"/>
        <w:rPr>
          <w:rFonts w:cs="MicrosoftYaHei" w:asciiTheme="minorEastAsia" w:hAnsiTheme="minorEastAsia" w:eastAsiaTheme="minorEastAsia"/>
          <w:b/>
          <w:bCs/>
          <w:kern w:val="0"/>
          <w:sz w:val="44"/>
          <w:szCs w:val="44"/>
        </w:rPr>
      </w:pPr>
    </w:p>
    <w:p>
      <w:pPr>
        <w:autoSpaceDE w:val="0"/>
        <w:autoSpaceDN w:val="0"/>
        <w:adjustRightInd w:val="0"/>
        <w:jc w:val="center"/>
        <w:rPr>
          <w:rFonts w:cs="MicrosoftYaHei" w:asciiTheme="minorEastAsia" w:hAnsiTheme="minorEastAsia" w:eastAsiaTheme="minorEastAsia"/>
          <w:b/>
          <w:bCs/>
          <w:kern w:val="0"/>
          <w:sz w:val="44"/>
          <w:szCs w:val="44"/>
        </w:rPr>
      </w:pPr>
      <w:r>
        <w:rPr>
          <w:rFonts w:cs="MicrosoftYaHei" w:asciiTheme="minorEastAsia" w:hAnsiTheme="minorEastAsia" w:eastAsiaTheme="minorEastAsia"/>
          <w:b/>
          <w:bCs/>
          <w:kern w:val="0"/>
          <w:sz w:val="44"/>
          <w:szCs w:val="44"/>
        </w:rPr>
        <w:t>2018</w:t>
      </w:r>
      <w:r>
        <w:rPr>
          <w:rFonts w:hint="eastAsia" w:cs="MicrosoftYaHei" w:asciiTheme="minorEastAsia" w:hAnsiTheme="minorEastAsia" w:eastAsiaTheme="minorEastAsia"/>
          <w:b/>
          <w:bCs/>
          <w:kern w:val="0"/>
          <w:sz w:val="44"/>
          <w:szCs w:val="44"/>
          <w:lang w:eastAsia="zh-CN"/>
        </w:rPr>
        <w:t>年老干部局</w:t>
      </w:r>
      <w:r>
        <w:rPr>
          <w:rFonts w:hint="eastAsia" w:cs="MicrosoftYaHei" w:asciiTheme="minorEastAsia" w:hAnsiTheme="minorEastAsia" w:eastAsiaTheme="minorEastAsia"/>
          <w:b/>
          <w:bCs/>
          <w:kern w:val="0"/>
          <w:sz w:val="44"/>
          <w:szCs w:val="44"/>
        </w:rPr>
        <w:t>部门预算公开</w:t>
      </w:r>
    </w:p>
    <w:p>
      <w:pPr>
        <w:keepNext w:val="0"/>
        <w:keepLines w:val="0"/>
        <w:pageBreakBefore w:val="0"/>
        <w:widowControl w:val="0"/>
        <w:kinsoku/>
        <w:wordWrap/>
        <w:overflowPunct/>
        <w:topLinePunct w:val="0"/>
        <w:autoSpaceDE w:val="0"/>
        <w:autoSpaceDN w:val="0"/>
        <w:bidi w:val="0"/>
        <w:adjustRightInd w:val="0"/>
        <w:snapToGrid/>
        <w:spacing w:line="600" w:lineRule="exact"/>
        <w:ind w:right="0" w:rightChars="0"/>
        <w:jc w:val="center"/>
        <w:textAlignment w:val="auto"/>
        <w:outlineLvl w:val="9"/>
        <w:rPr>
          <w:rFonts w:hint="eastAsia" w:ascii="宋体" w:cs="宋体"/>
          <w:b/>
          <w:bCs/>
          <w:kern w:val="0"/>
          <w:sz w:val="44"/>
          <w:szCs w:val="44"/>
        </w:rPr>
      </w:pPr>
    </w:p>
    <w:p>
      <w:pPr>
        <w:keepNext w:val="0"/>
        <w:keepLines w:val="0"/>
        <w:pageBreakBefore w:val="0"/>
        <w:widowControl w:val="0"/>
        <w:kinsoku/>
        <w:wordWrap/>
        <w:overflowPunct/>
        <w:topLinePunct w:val="0"/>
        <w:autoSpaceDE w:val="0"/>
        <w:autoSpaceDN w:val="0"/>
        <w:bidi w:val="0"/>
        <w:adjustRightInd w:val="0"/>
        <w:snapToGrid/>
        <w:spacing w:line="600" w:lineRule="exact"/>
        <w:ind w:right="0" w:rightChars="0"/>
        <w:jc w:val="center"/>
        <w:textAlignment w:val="auto"/>
        <w:outlineLvl w:val="9"/>
        <w:rPr>
          <w:rFonts w:hint="eastAsia" w:ascii="宋体" w:cs="宋体"/>
          <w:b/>
          <w:bCs/>
          <w:kern w:val="0"/>
          <w:sz w:val="44"/>
          <w:szCs w:val="44"/>
        </w:rPr>
      </w:pPr>
    </w:p>
    <w:p>
      <w:pPr>
        <w:keepNext w:val="0"/>
        <w:keepLines w:val="0"/>
        <w:pageBreakBefore w:val="0"/>
        <w:widowControl w:val="0"/>
        <w:kinsoku/>
        <w:wordWrap/>
        <w:overflowPunct/>
        <w:topLinePunct w:val="0"/>
        <w:autoSpaceDE w:val="0"/>
        <w:autoSpaceDN w:val="0"/>
        <w:bidi w:val="0"/>
        <w:adjustRightInd w:val="0"/>
        <w:snapToGrid/>
        <w:spacing w:line="600" w:lineRule="exact"/>
        <w:ind w:right="0" w:rightChars="0"/>
        <w:jc w:val="center"/>
        <w:textAlignment w:val="auto"/>
        <w:outlineLvl w:val="9"/>
        <w:rPr>
          <w:rFonts w:hint="eastAsia" w:ascii="宋体" w:cs="宋体"/>
          <w:b/>
          <w:bCs/>
          <w:kern w:val="0"/>
          <w:sz w:val="44"/>
          <w:szCs w:val="44"/>
        </w:rPr>
      </w:pPr>
    </w:p>
    <w:p>
      <w:pPr>
        <w:keepNext w:val="0"/>
        <w:keepLines w:val="0"/>
        <w:pageBreakBefore w:val="0"/>
        <w:widowControl w:val="0"/>
        <w:kinsoku/>
        <w:wordWrap/>
        <w:overflowPunct/>
        <w:topLinePunct w:val="0"/>
        <w:autoSpaceDE w:val="0"/>
        <w:autoSpaceDN w:val="0"/>
        <w:bidi w:val="0"/>
        <w:adjustRightInd w:val="0"/>
        <w:snapToGrid/>
        <w:spacing w:line="600" w:lineRule="exact"/>
        <w:ind w:right="0" w:rightChars="0"/>
        <w:jc w:val="center"/>
        <w:textAlignment w:val="auto"/>
        <w:outlineLvl w:val="9"/>
        <w:rPr>
          <w:rFonts w:hint="eastAsia" w:ascii="宋体" w:cs="宋体"/>
          <w:b/>
          <w:bCs/>
          <w:kern w:val="0"/>
          <w:sz w:val="44"/>
          <w:szCs w:val="44"/>
        </w:rPr>
      </w:pPr>
    </w:p>
    <w:p>
      <w:pPr>
        <w:keepNext w:val="0"/>
        <w:keepLines w:val="0"/>
        <w:pageBreakBefore w:val="0"/>
        <w:widowControl w:val="0"/>
        <w:kinsoku/>
        <w:wordWrap/>
        <w:overflowPunct/>
        <w:topLinePunct w:val="0"/>
        <w:autoSpaceDE w:val="0"/>
        <w:autoSpaceDN w:val="0"/>
        <w:bidi w:val="0"/>
        <w:adjustRightInd w:val="0"/>
        <w:snapToGrid/>
        <w:spacing w:line="600" w:lineRule="exact"/>
        <w:ind w:right="0" w:rightChars="0"/>
        <w:jc w:val="center"/>
        <w:textAlignment w:val="auto"/>
        <w:outlineLvl w:val="9"/>
        <w:rPr>
          <w:rFonts w:hint="eastAsia" w:ascii="宋体" w:cs="宋体"/>
          <w:b/>
          <w:bCs/>
          <w:kern w:val="0"/>
          <w:sz w:val="44"/>
          <w:szCs w:val="44"/>
        </w:rPr>
      </w:pPr>
    </w:p>
    <w:p>
      <w:pPr>
        <w:keepNext w:val="0"/>
        <w:keepLines w:val="0"/>
        <w:pageBreakBefore w:val="0"/>
        <w:widowControl w:val="0"/>
        <w:kinsoku/>
        <w:wordWrap/>
        <w:overflowPunct/>
        <w:topLinePunct w:val="0"/>
        <w:autoSpaceDE w:val="0"/>
        <w:autoSpaceDN w:val="0"/>
        <w:bidi w:val="0"/>
        <w:adjustRightInd w:val="0"/>
        <w:snapToGrid/>
        <w:spacing w:line="600" w:lineRule="exact"/>
        <w:ind w:right="0" w:rightChars="0"/>
        <w:jc w:val="center"/>
        <w:textAlignment w:val="auto"/>
        <w:outlineLvl w:val="9"/>
        <w:rPr>
          <w:rFonts w:hint="eastAsia" w:ascii="宋体" w:cs="宋体"/>
          <w:b/>
          <w:bCs/>
          <w:kern w:val="0"/>
          <w:sz w:val="44"/>
          <w:szCs w:val="44"/>
        </w:rPr>
      </w:pPr>
    </w:p>
    <w:p>
      <w:pPr>
        <w:keepNext w:val="0"/>
        <w:keepLines w:val="0"/>
        <w:pageBreakBefore w:val="0"/>
        <w:widowControl w:val="0"/>
        <w:kinsoku/>
        <w:wordWrap/>
        <w:overflowPunct/>
        <w:topLinePunct w:val="0"/>
        <w:autoSpaceDE w:val="0"/>
        <w:autoSpaceDN w:val="0"/>
        <w:bidi w:val="0"/>
        <w:adjustRightInd w:val="0"/>
        <w:snapToGrid/>
        <w:spacing w:line="600" w:lineRule="exact"/>
        <w:ind w:right="0" w:rightChars="0"/>
        <w:jc w:val="center"/>
        <w:textAlignment w:val="auto"/>
        <w:outlineLvl w:val="9"/>
        <w:rPr>
          <w:rFonts w:hint="eastAsia" w:ascii="宋体" w:cs="宋体"/>
          <w:b/>
          <w:bCs/>
          <w:kern w:val="0"/>
          <w:sz w:val="44"/>
          <w:szCs w:val="44"/>
        </w:rPr>
      </w:pPr>
    </w:p>
    <w:p>
      <w:pPr>
        <w:keepNext w:val="0"/>
        <w:keepLines w:val="0"/>
        <w:pageBreakBefore w:val="0"/>
        <w:widowControl w:val="0"/>
        <w:kinsoku/>
        <w:wordWrap/>
        <w:overflowPunct/>
        <w:topLinePunct w:val="0"/>
        <w:autoSpaceDE w:val="0"/>
        <w:autoSpaceDN w:val="0"/>
        <w:bidi w:val="0"/>
        <w:adjustRightInd w:val="0"/>
        <w:snapToGrid/>
        <w:spacing w:line="600" w:lineRule="exact"/>
        <w:ind w:right="0" w:rightChars="0"/>
        <w:jc w:val="center"/>
        <w:textAlignment w:val="auto"/>
        <w:outlineLvl w:val="9"/>
        <w:rPr>
          <w:rFonts w:hint="eastAsia" w:ascii="宋体" w:cs="宋体"/>
          <w:b/>
          <w:bCs/>
          <w:kern w:val="0"/>
          <w:sz w:val="44"/>
          <w:szCs w:val="44"/>
        </w:rPr>
      </w:pPr>
    </w:p>
    <w:p>
      <w:pPr>
        <w:keepNext w:val="0"/>
        <w:keepLines w:val="0"/>
        <w:pageBreakBefore w:val="0"/>
        <w:widowControl w:val="0"/>
        <w:kinsoku/>
        <w:wordWrap/>
        <w:overflowPunct/>
        <w:topLinePunct w:val="0"/>
        <w:autoSpaceDE w:val="0"/>
        <w:autoSpaceDN w:val="0"/>
        <w:bidi w:val="0"/>
        <w:adjustRightInd w:val="0"/>
        <w:snapToGrid/>
        <w:spacing w:line="600" w:lineRule="exact"/>
        <w:ind w:right="0" w:rightChars="0"/>
        <w:jc w:val="center"/>
        <w:textAlignment w:val="auto"/>
        <w:outlineLvl w:val="9"/>
        <w:rPr>
          <w:rFonts w:hint="eastAsia" w:ascii="宋体" w:cs="宋体"/>
          <w:b/>
          <w:bCs/>
          <w:kern w:val="0"/>
          <w:sz w:val="44"/>
          <w:szCs w:val="44"/>
        </w:rPr>
      </w:pPr>
    </w:p>
    <w:p>
      <w:pPr>
        <w:keepNext w:val="0"/>
        <w:keepLines w:val="0"/>
        <w:pageBreakBefore w:val="0"/>
        <w:widowControl w:val="0"/>
        <w:kinsoku/>
        <w:wordWrap/>
        <w:overflowPunct/>
        <w:topLinePunct w:val="0"/>
        <w:autoSpaceDE w:val="0"/>
        <w:autoSpaceDN w:val="0"/>
        <w:bidi w:val="0"/>
        <w:adjustRightInd w:val="0"/>
        <w:snapToGrid/>
        <w:spacing w:line="600" w:lineRule="exact"/>
        <w:ind w:right="0" w:rightChars="0"/>
        <w:jc w:val="center"/>
        <w:textAlignment w:val="auto"/>
        <w:outlineLvl w:val="9"/>
        <w:rPr>
          <w:rFonts w:hint="eastAsia" w:ascii="宋体" w:cs="宋体"/>
          <w:b/>
          <w:bCs/>
          <w:kern w:val="0"/>
          <w:sz w:val="44"/>
          <w:szCs w:val="44"/>
        </w:rPr>
      </w:pPr>
    </w:p>
    <w:p>
      <w:pPr>
        <w:keepNext w:val="0"/>
        <w:keepLines w:val="0"/>
        <w:pageBreakBefore w:val="0"/>
        <w:widowControl w:val="0"/>
        <w:kinsoku/>
        <w:wordWrap/>
        <w:overflowPunct/>
        <w:topLinePunct w:val="0"/>
        <w:autoSpaceDE w:val="0"/>
        <w:autoSpaceDN w:val="0"/>
        <w:bidi w:val="0"/>
        <w:adjustRightInd w:val="0"/>
        <w:snapToGrid/>
        <w:spacing w:line="600" w:lineRule="exact"/>
        <w:ind w:right="0" w:rightChars="0"/>
        <w:jc w:val="center"/>
        <w:textAlignment w:val="auto"/>
        <w:outlineLvl w:val="9"/>
        <w:rPr>
          <w:rFonts w:hint="eastAsia" w:ascii="宋体" w:cs="宋体"/>
          <w:b/>
          <w:bCs/>
          <w:kern w:val="0"/>
          <w:sz w:val="44"/>
          <w:szCs w:val="44"/>
        </w:rPr>
      </w:pPr>
    </w:p>
    <w:p>
      <w:pPr>
        <w:keepNext w:val="0"/>
        <w:keepLines w:val="0"/>
        <w:pageBreakBefore w:val="0"/>
        <w:widowControl w:val="0"/>
        <w:kinsoku/>
        <w:wordWrap/>
        <w:overflowPunct/>
        <w:topLinePunct w:val="0"/>
        <w:autoSpaceDE w:val="0"/>
        <w:autoSpaceDN w:val="0"/>
        <w:bidi w:val="0"/>
        <w:adjustRightInd w:val="0"/>
        <w:snapToGrid/>
        <w:spacing w:line="600" w:lineRule="exact"/>
        <w:ind w:right="0" w:rightChars="0"/>
        <w:jc w:val="center"/>
        <w:textAlignment w:val="auto"/>
        <w:outlineLvl w:val="9"/>
        <w:rPr>
          <w:rFonts w:hint="eastAsia" w:ascii="宋体" w:cs="宋体"/>
          <w:b/>
          <w:bCs/>
          <w:kern w:val="0"/>
          <w:sz w:val="44"/>
          <w:szCs w:val="44"/>
        </w:rPr>
      </w:pPr>
    </w:p>
    <w:p>
      <w:pPr>
        <w:keepNext w:val="0"/>
        <w:keepLines w:val="0"/>
        <w:pageBreakBefore w:val="0"/>
        <w:widowControl w:val="0"/>
        <w:kinsoku/>
        <w:wordWrap/>
        <w:overflowPunct/>
        <w:topLinePunct w:val="0"/>
        <w:autoSpaceDE w:val="0"/>
        <w:autoSpaceDN w:val="0"/>
        <w:bidi w:val="0"/>
        <w:adjustRightInd w:val="0"/>
        <w:snapToGrid/>
        <w:spacing w:line="600" w:lineRule="exact"/>
        <w:ind w:right="0" w:rightChars="0"/>
        <w:jc w:val="center"/>
        <w:textAlignment w:val="auto"/>
        <w:outlineLvl w:val="9"/>
        <w:rPr>
          <w:rFonts w:hint="eastAsia" w:ascii="宋体" w:cs="宋体"/>
          <w:b/>
          <w:bCs/>
          <w:kern w:val="0"/>
          <w:sz w:val="44"/>
          <w:szCs w:val="44"/>
        </w:rPr>
      </w:pPr>
    </w:p>
    <w:p>
      <w:pPr>
        <w:keepNext w:val="0"/>
        <w:keepLines w:val="0"/>
        <w:pageBreakBefore w:val="0"/>
        <w:widowControl w:val="0"/>
        <w:kinsoku/>
        <w:wordWrap/>
        <w:overflowPunct/>
        <w:topLinePunct w:val="0"/>
        <w:autoSpaceDE w:val="0"/>
        <w:autoSpaceDN w:val="0"/>
        <w:bidi w:val="0"/>
        <w:adjustRightInd w:val="0"/>
        <w:snapToGrid/>
        <w:spacing w:line="600" w:lineRule="exact"/>
        <w:ind w:right="0" w:rightChars="0"/>
        <w:jc w:val="center"/>
        <w:textAlignment w:val="auto"/>
        <w:outlineLvl w:val="9"/>
        <w:rPr>
          <w:rFonts w:hint="eastAsia" w:ascii="宋体" w:cs="宋体"/>
          <w:b/>
          <w:bCs/>
          <w:kern w:val="0"/>
          <w:sz w:val="44"/>
          <w:szCs w:val="44"/>
          <w:lang w:val="en-US"/>
        </w:rPr>
      </w:pPr>
      <w:r>
        <w:rPr>
          <w:rFonts w:hint="default" w:ascii="宋体" w:cs="宋体"/>
          <w:b/>
          <w:bCs/>
          <w:kern w:val="0"/>
          <w:sz w:val="44"/>
          <w:szCs w:val="44"/>
          <w:lang w:val="en-US"/>
        </w:rPr>
        <w:t>2018</w:t>
      </w:r>
      <w:r>
        <w:rPr>
          <w:rFonts w:hint="eastAsia" w:ascii="宋体" w:cs="宋体"/>
          <w:b/>
          <w:bCs/>
          <w:kern w:val="0"/>
          <w:sz w:val="44"/>
          <w:szCs w:val="44"/>
          <w:lang w:val="en-US" w:eastAsia="zh-CN"/>
        </w:rPr>
        <w:t>年度</w:t>
      </w:r>
    </w:p>
    <w:p>
      <w:pPr>
        <w:keepNext w:val="0"/>
        <w:keepLines w:val="0"/>
        <w:pageBreakBefore w:val="0"/>
        <w:widowControl w:val="0"/>
        <w:kinsoku/>
        <w:wordWrap/>
        <w:overflowPunct/>
        <w:topLinePunct w:val="0"/>
        <w:autoSpaceDE w:val="0"/>
        <w:autoSpaceDN w:val="0"/>
        <w:bidi w:val="0"/>
        <w:adjustRightInd w:val="0"/>
        <w:snapToGrid/>
        <w:spacing w:line="600" w:lineRule="exact"/>
        <w:ind w:right="0" w:rightChars="0"/>
        <w:jc w:val="center"/>
        <w:textAlignment w:val="auto"/>
        <w:outlineLvl w:val="9"/>
        <w:rPr>
          <w:rFonts w:hint="eastAsia" w:ascii="宋体" w:cs="宋体"/>
          <w:b/>
          <w:bCs/>
          <w:kern w:val="0"/>
          <w:sz w:val="44"/>
          <w:szCs w:val="44"/>
        </w:rPr>
      </w:pPr>
    </w:p>
    <w:p>
      <w:pPr>
        <w:keepNext w:val="0"/>
        <w:keepLines w:val="0"/>
        <w:pageBreakBefore w:val="0"/>
        <w:widowControl w:val="0"/>
        <w:kinsoku/>
        <w:wordWrap/>
        <w:overflowPunct/>
        <w:topLinePunct w:val="0"/>
        <w:autoSpaceDE w:val="0"/>
        <w:autoSpaceDN w:val="0"/>
        <w:bidi w:val="0"/>
        <w:adjustRightInd w:val="0"/>
        <w:snapToGrid/>
        <w:spacing w:line="600" w:lineRule="exact"/>
        <w:ind w:right="0" w:rightChars="0"/>
        <w:jc w:val="center"/>
        <w:textAlignment w:val="auto"/>
        <w:outlineLvl w:val="9"/>
        <w:rPr>
          <w:rFonts w:hint="eastAsia" w:ascii="宋体" w:cs="宋体"/>
          <w:b/>
          <w:bCs/>
          <w:kern w:val="0"/>
          <w:sz w:val="44"/>
          <w:szCs w:val="44"/>
        </w:rPr>
      </w:pPr>
    </w:p>
    <w:p>
      <w:pPr>
        <w:keepNext w:val="0"/>
        <w:keepLines w:val="0"/>
        <w:pageBreakBefore w:val="0"/>
        <w:widowControl w:val="0"/>
        <w:kinsoku/>
        <w:wordWrap/>
        <w:overflowPunct/>
        <w:topLinePunct w:val="0"/>
        <w:autoSpaceDE w:val="0"/>
        <w:autoSpaceDN w:val="0"/>
        <w:bidi w:val="0"/>
        <w:adjustRightInd w:val="0"/>
        <w:snapToGrid/>
        <w:spacing w:line="600" w:lineRule="exact"/>
        <w:ind w:right="0" w:rightChars="0"/>
        <w:jc w:val="center"/>
        <w:textAlignment w:val="auto"/>
        <w:outlineLvl w:val="9"/>
        <w:rPr>
          <w:rFonts w:hint="eastAsia" w:ascii="宋体" w:cs="宋体"/>
          <w:b/>
          <w:bCs/>
          <w:kern w:val="0"/>
          <w:sz w:val="44"/>
          <w:szCs w:val="44"/>
        </w:rPr>
      </w:pPr>
    </w:p>
    <w:p>
      <w:pPr>
        <w:keepNext w:val="0"/>
        <w:keepLines w:val="0"/>
        <w:pageBreakBefore w:val="0"/>
        <w:widowControl w:val="0"/>
        <w:kinsoku/>
        <w:wordWrap/>
        <w:overflowPunct/>
        <w:topLinePunct w:val="0"/>
        <w:autoSpaceDE w:val="0"/>
        <w:autoSpaceDN w:val="0"/>
        <w:bidi w:val="0"/>
        <w:adjustRightInd w:val="0"/>
        <w:snapToGrid/>
        <w:spacing w:line="600" w:lineRule="exact"/>
        <w:ind w:right="0" w:rightChars="0"/>
        <w:jc w:val="center"/>
        <w:textAlignment w:val="auto"/>
        <w:outlineLvl w:val="9"/>
        <w:rPr>
          <w:rFonts w:hint="eastAsia" w:ascii="宋体" w:cs="宋体"/>
          <w:b/>
          <w:bCs/>
          <w:kern w:val="0"/>
          <w:sz w:val="44"/>
          <w:szCs w:val="44"/>
        </w:rPr>
      </w:pPr>
    </w:p>
    <w:p>
      <w:pPr>
        <w:keepNext w:val="0"/>
        <w:keepLines w:val="0"/>
        <w:pageBreakBefore w:val="0"/>
        <w:widowControl w:val="0"/>
        <w:kinsoku/>
        <w:wordWrap/>
        <w:overflowPunct/>
        <w:topLinePunct w:val="0"/>
        <w:autoSpaceDE w:val="0"/>
        <w:autoSpaceDN w:val="0"/>
        <w:bidi w:val="0"/>
        <w:adjustRightInd w:val="0"/>
        <w:snapToGrid/>
        <w:spacing w:line="600" w:lineRule="exact"/>
        <w:ind w:right="0" w:rightChars="0"/>
        <w:jc w:val="center"/>
        <w:textAlignment w:val="auto"/>
        <w:outlineLvl w:val="9"/>
        <w:rPr>
          <w:rFonts w:hint="eastAsia" w:ascii="宋体" w:cs="宋体"/>
          <w:b/>
          <w:bCs/>
          <w:kern w:val="0"/>
          <w:sz w:val="44"/>
          <w:szCs w:val="44"/>
        </w:rPr>
      </w:pPr>
    </w:p>
    <w:p>
      <w:pPr>
        <w:keepNext w:val="0"/>
        <w:keepLines w:val="0"/>
        <w:pageBreakBefore w:val="0"/>
        <w:widowControl w:val="0"/>
        <w:kinsoku/>
        <w:wordWrap/>
        <w:overflowPunct/>
        <w:topLinePunct w:val="0"/>
        <w:autoSpaceDE w:val="0"/>
        <w:autoSpaceDN w:val="0"/>
        <w:bidi w:val="0"/>
        <w:adjustRightInd w:val="0"/>
        <w:snapToGrid/>
        <w:spacing w:line="600" w:lineRule="exact"/>
        <w:ind w:right="0" w:rightChars="0"/>
        <w:jc w:val="center"/>
        <w:textAlignment w:val="auto"/>
        <w:outlineLvl w:val="9"/>
        <w:rPr>
          <w:rFonts w:hint="eastAsia" w:ascii="宋体" w:cs="宋体"/>
          <w:b/>
          <w:bCs/>
          <w:kern w:val="0"/>
          <w:sz w:val="44"/>
          <w:szCs w:val="44"/>
        </w:rPr>
      </w:pPr>
    </w:p>
    <w:p>
      <w:pPr>
        <w:keepNext w:val="0"/>
        <w:keepLines w:val="0"/>
        <w:pageBreakBefore w:val="0"/>
        <w:widowControl w:val="0"/>
        <w:kinsoku/>
        <w:wordWrap/>
        <w:overflowPunct/>
        <w:topLinePunct w:val="0"/>
        <w:autoSpaceDE w:val="0"/>
        <w:autoSpaceDN w:val="0"/>
        <w:bidi w:val="0"/>
        <w:adjustRightInd w:val="0"/>
        <w:snapToGrid/>
        <w:spacing w:line="600" w:lineRule="exact"/>
        <w:ind w:right="0" w:rightChars="0"/>
        <w:jc w:val="center"/>
        <w:textAlignment w:val="auto"/>
        <w:outlineLvl w:val="9"/>
        <w:rPr>
          <w:rFonts w:hint="eastAsia" w:ascii="宋体" w:cs="宋体"/>
          <w:b/>
          <w:bCs/>
          <w:kern w:val="0"/>
          <w:sz w:val="44"/>
          <w:szCs w:val="44"/>
        </w:rPr>
      </w:pPr>
    </w:p>
    <w:p>
      <w:pPr>
        <w:keepNext w:val="0"/>
        <w:keepLines w:val="0"/>
        <w:pageBreakBefore w:val="0"/>
        <w:widowControl w:val="0"/>
        <w:kinsoku/>
        <w:wordWrap/>
        <w:overflowPunct/>
        <w:topLinePunct w:val="0"/>
        <w:autoSpaceDE w:val="0"/>
        <w:autoSpaceDN w:val="0"/>
        <w:bidi w:val="0"/>
        <w:adjustRightInd w:val="0"/>
        <w:snapToGrid/>
        <w:spacing w:line="600" w:lineRule="exact"/>
        <w:ind w:right="0" w:rightChars="0"/>
        <w:jc w:val="center"/>
        <w:textAlignment w:val="auto"/>
        <w:outlineLvl w:val="9"/>
        <w:rPr>
          <w:rFonts w:ascii="宋体" w:cs="宋体"/>
          <w:b/>
          <w:bCs/>
          <w:kern w:val="0"/>
          <w:sz w:val="44"/>
          <w:szCs w:val="44"/>
        </w:rPr>
      </w:pPr>
      <w:r>
        <w:rPr>
          <w:rFonts w:hint="eastAsia" w:ascii="宋体" w:cs="宋体"/>
          <w:b/>
          <w:bCs/>
          <w:kern w:val="0"/>
          <w:sz w:val="44"/>
          <w:szCs w:val="44"/>
        </w:rPr>
        <w:t>目</w:t>
      </w:r>
      <w:r>
        <w:rPr>
          <w:rFonts w:hint="default" w:ascii="宋体" w:cs="宋体"/>
          <w:b/>
          <w:bCs/>
          <w:kern w:val="0"/>
          <w:sz w:val="44"/>
          <w:szCs w:val="44"/>
          <w:lang w:val="en-US"/>
        </w:rPr>
        <w:t xml:space="preserve">   </w:t>
      </w:r>
      <w:r>
        <w:rPr>
          <w:rFonts w:hint="eastAsia" w:ascii="宋体" w:cs="宋体"/>
          <w:b/>
          <w:bCs/>
          <w:kern w:val="0"/>
          <w:sz w:val="44"/>
          <w:szCs w:val="44"/>
        </w:rPr>
        <w:t>录</w:t>
      </w:r>
    </w:p>
    <w:p>
      <w:pPr>
        <w:keepNext w:val="0"/>
        <w:keepLines w:val="0"/>
        <w:pageBreakBefore w:val="0"/>
        <w:widowControl w:val="0"/>
        <w:kinsoku/>
        <w:wordWrap/>
        <w:overflowPunct/>
        <w:topLinePunct w:val="0"/>
        <w:autoSpaceDE w:val="0"/>
        <w:autoSpaceDN w:val="0"/>
        <w:bidi w:val="0"/>
        <w:adjustRightInd w:val="0"/>
        <w:snapToGrid/>
        <w:spacing w:line="600" w:lineRule="exact"/>
        <w:ind w:right="0" w:rightChars="0"/>
        <w:jc w:val="left"/>
        <w:textAlignment w:val="auto"/>
        <w:outlineLvl w:val="9"/>
        <w:rPr>
          <w:rFonts w:hint="eastAsia" w:ascii="黑体" w:eastAsia="黑体" w:cs="黑体"/>
          <w:kern w:val="0"/>
          <w:sz w:val="32"/>
          <w:szCs w:val="32"/>
        </w:rPr>
      </w:pPr>
    </w:p>
    <w:p>
      <w:pPr>
        <w:keepNext w:val="0"/>
        <w:keepLines w:val="0"/>
        <w:pageBreakBefore w:val="0"/>
        <w:widowControl w:val="0"/>
        <w:kinsoku/>
        <w:wordWrap/>
        <w:overflowPunct/>
        <w:topLinePunct w:val="0"/>
        <w:autoSpaceDE w:val="0"/>
        <w:autoSpaceDN w:val="0"/>
        <w:bidi w:val="0"/>
        <w:adjustRightInd w:val="0"/>
        <w:snapToGrid/>
        <w:spacing w:line="600" w:lineRule="exact"/>
        <w:ind w:left="0" w:leftChars="0" w:right="0" w:rightChars="0" w:firstLine="640" w:firstLineChars="200"/>
        <w:jc w:val="left"/>
        <w:textAlignment w:val="auto"/>
        <w:outlineLvl w:val="9"/>
        <w:rPr>
          <w:rFonts w:ascii="黑体" w:eastAsia="黑体" w:cs="黑体"/>
          <w:kern w:val="0"/>
          <w:sz w:val="32"/>
          <w:szCs w:val="32"/>
        </w:rPr>
      </w:pPr>
      <w:r>
        <w:rPr>
          <w:rFonts w:hint="eastAsia" w:ascii="黑体" w:eastAsia="黑体" w:cs="黑体"/>
          <w:kern w:val="0"/>
          <w:sz w:val="32"/>
          <w:szCs w:val="32"/>
        </w:rPr>
        <w:t>第一部分</w:t>
      </w:r>
      <w:r>
        <w:rPr>
          <w:rFonts w:hint="eastAsia" w:ascii="黑体" w:eastAsia="黑体" w:cs="黑体"/>
          <w:kern w:val="0"/>
          <w:sz w:val="32"/>
          <w:szCs w:val="32"/>
          <w:lang w:eastAsia="zh-CN"/>
        </w:rPr>
        <w:t>老干部局</w:t>
      </w:r>
      <w:r>
        <w:rPr>
          <w:rFonts w:hint="eastAsia" w:ascii="黑体" w:eastAsia="黑体" w:cs="黑体"/>
          <w:kern w:val="0"/>
          <w:sz w:val="32"/>
          <w:szCs w:val="32"/>
        </w:rPr>
        <w:t>部门概况</w:t>
      </w:r>
    </w:p>
    <w:p>
      <w:pPr>
        <w:keepNext w:val="0"/>
        <w:keepLines w:val="0"/>
        <w:pageBreakBefore w:val="0"/>
        <w:widowControl w:val="0"/>
        <w:kinsoku/>
        <w:wordWrap/>
        <w:overflowPunct/>
        <w:topLinePunct w:val="0"/>
        <w:autoSpaceDE w:val="0"/>
        <w:autoSpaceDN w:val="0"/>
        <w:bidi w:val="0"/>
        <w:adjustRightInd w:val="0"/>
        <w:snapToGrid/>
        <w:spacing w:line="600" w:lineRule="exact"/>
        <w:ind w:left="0" w:leftChars="0" w:right="0" w:rightChars="0" w:firstLine="640" w:firstLineChars="200"/>
        <w:jc w:val="left"/>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一、主要职能</w:t>
      </w:r>
    </w:p>
    <w:p>
      <w:pPr>
        <w:keepNext w:val="0"/>
        <w:keepLines w:val="0"/>
        <w:pageBreakBefore w:val="0"/>
        <w:widowControl w:val="0"/>
        <w:kinsoku/>
        <w:wordWrap/>
        <w:overflowPunct/>
        <w:topLinePunct w:val="0"/>
        <w:autoSpaceDE w:val="0"/>
        <w:autoSpaceDN w:val="0"/>
        <w:bidi w:val="0"/>
        <w:adjustRightInd w:val="0"/>
        <w:snapToGrid/>
        <w:spacing w:line="600" w:lineRule="exact"/>
        <w:ind w:left="0" w:leftChars="0" w:right="0" w:rightChars="0" w:firstLine="640" w:firstLineChars="200"/>
        <w:jc w:val="left"/>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二、部门预算单位构成</w:t>
      </w:r>
    </w:p>
    <w:p>
      <w:pPr>
        <w:keepNext w:val="0"/>
        <w:keepLines w:val="0"/>
        <w:pageBreakBefore w:val="0"/>
        <w:widowControl w:val="0"/>
        <w:kinsoku/>
        <w:wordWrap/>
        <w:overflowPunct/>
        <w:topLinePunct w:val="0"/>
        <w:autoSpaceDE w:val="0"/>
        <w:autoSpaceDN w:val="0"/>
        <w:bidi w:val="0"/>
        <w:adjustRightInd w:val="0"/>
        <w:snapToGrid/>
        <w:spacing w:line="600" w:lineRule="exact"/>
        <w:ind w:left="0" w:leftChars="0" w:right="0" w:rightChars="0" w:firstLine="640" w:firstLineChars="200"/>
        <w:jc w:val="left"/>
        <w:textAlignment w:val="auto"/>
        <w:outlineLvl w:val="9"/>
        <w:rPr>
          <w:rFonts w:ascii="黑体" w:eastAsia="黑体" w:cs="黑体"/>
          <w:kern w:val="0"/>
          <w:sz w:val="32"/>
          <w:szCs w:val="32"/>
        </w:rPr>
      </w:pPr>
      <w:r>
        <w:rPr>
          <w:rFonts w:hint="eastAsia" w:ascii="黑体" w:eastAsia="黑体" w:cs="黑体"/>
          <w:kern w:val="0"/>
          <w:sz w:val="32"/>
          <w:szCs w:val="32"/>
        </w:rPr>
        <w:t>第二部分</w:t>
      </w:r>
      <w:r>
        <w:rPr>
          <w:rFonts w:hint="eastAsia" w:ascii="黑体" w:eastAsia="黑体" w:cs="黑体"/>
          <w:kern w:val="0"/>
          <w:sz w:val="32"/>
          <w:szCs w:val="32"/>
          <w:lang w:eastAsia="zh-CN"/>
        </w:rPr>
        <w:t>老干部局</w:t>
      </w:r>
      <w:r>
        <w:rPr>
          <w:rFonts w:ascii="黑体" w:eastAsia="黑体" w:cs="黑体"/>
          <w:kern w:val="0"/>
          <w:sz w:val="32"/>
          <w:szCs w:val="32"/>
        </w:rPr>
        <w:t>2018</w:t>
      </w:r>
      <w:r>
        <w:rPr>
          <w:rFonts w:hint="eastAsia" w:ascii="黑体" w:eastAsia="黑体" w:cs="黑体"/>
          <w:kern w:val="0"/>
          <w:sz w:val="32"/>
          <w:szCs w:val="32"/>
        </w:rPr>
        <w:t>年部门预算情况说明</w:t>
      </w:r>
    </w:p>
    <w:p>
      <w:pPr>
        <w:keepNext w:val="0"/>
        <w:keepLines w:val="0"/>
        <w:pageBreakBefore w:val="0"/>
        <w:widowControl w:val="0"/>
        <w:kinsoku/>
        <w:wordWrap/>
        <w:overflowPunct/>
        <w:topLinePunct w:val="0"/>
        <w:autoSpaceDE w:val="0"/>
        <w:autoSpaceDN w:val="0"/>
        <w:bidi w:val="0"/>
        <w:adjustRightInd w:val="0"/>
        <w:snapToGrid/>
        <w:spacing w:line="600" w:lineRule="exact"/>
        <w:ind w:left="0" w:leftChars="0" w:right="0" w:rightChars="0" w:firstLine="640" w:firstLineChars="200"/>
        <w:jc w:val="left"/>
        <w:textAlignment w:val="auto"/>
        <w:outlineLvl w:val="9"/>
        <w:rPr>
          <w:rFonts w:ascii="黑体" w:eastAsia="黑体" w:cs="黑体"/>
          <w:kern w:val="0"/>
          <w:sz w:val="32"/>
          <w:szCs w:val="32"/>
        </w:rPr>
      </w:pPr>
      <w:r>
        <w:rPr>
          <w:rFonts w:hint="eastAsia" w:ascii="黑体" w:eastAsia="黑体" w:cs="黑体"/>
          <w:kern w:val="0"/>
          <w:sz w:val="32"/>
          <w:szCs w:val="32"/>
        </w:rPr>
        <w:t>第三部分名词解释</w:t>
      </w:r>
    </w:p>
    <w:p>
      <w:pPr>
        <w:keepNext w:val="0"/>
        <w:keepLines w:val="0"/>
        <w:pageBreakBefore w:val="0"/>
        <w:widowControl w:val="0"/>
        <w:kinsoku/>
        <w:wordWrap/>
        <w:overflowPunct/>
        <w:topLinePunct w:val="0"/>
        <w:autoSpaceDE w:val="0"/>
        <w:autoSpaceDN w:val="0"/>
        <w:bidi w:val="0"/>
        <w:adjustRightInd w:val="0"/>
        <w:snapToGrid/>
        <w:spacing w:line="600" w:lineRule="exact"/>
        <w:ind w:right="0" w:rightChars="0"/>
        <w:jc w:val="left"/>
        <w:textAlignment w:val="auto"/>
        <w:outlineLvl w:val="9"/>
        <w:rPr>
          <w:rFonts w:hint="eastAsia" w:ascii="仿宋" w:hAnsi="仿宋" w:eastAsia="仿宋" w:cs="仿宋"/>
          <w:kern w:val="0"/>
          <w:sz w:val="32"/>
          <w:szCs w:val="32"/>
        </w:rPr>
      </w:pPr>
      <w:r>
        <w:rPr>
          <w:rFonts w:hint="eastAsia" w:cs="仿宋" w:asciiTheme="minorEastAsia" w:hAnsiTheme="minorEastAsia" w:eastAsiaTheme="minorEastAsia"/>
          <w:kern w:val="0"/>
          <w:sz w:val="32"/>
          <w:szCs w:val="32"/>
        </w:rPr>
        <w:t xml:space="preserve">    </w:t>
      </w:r>
      <w:r>
        <w:rPr>
          <w:rFonts w:hint="eastAsia" w:ascii="仿宋" w:hAnsi="仿宋" w:eastAsia="仿宋" w:cs="仿宋"/>
          <w:kern w:val="0"/>
          <w:sz w:val="32"/>
          <w:szCs w:val="32"/>
        </w:rPr>
        <w:t>附件：</w:t>
      </w:r>
      <w:r>
        <w:rPr>
          <w:rFonts w:hint="eastAsia" w:ascii="仿宋" w:hAnsi="仿宋" w:eastAsia="仿宋" w:cs="仿宋"/>
          <w:kern w:val="0"/>
          <w:sz w:val="32"/>
          <w:szCs w:val="32"/>
          <w:lang w:eastAsia="zh-CN"/>
        </w:rPr>
        <w:t>老干部局</w:t>
      </w:r>
      <w:r>
        <w:rPr>
          <w:rFonts w:hint="eastAsia" w:ascii="仿宋" w:hAnsi="仿宋" w:eastAsia="仿宋" w:cs="仿宋"/>
          <w:kern w:val="0"/>
          <w:sz w:val="32"/>
          <w:szCs w:val="32"/>
        </w:rPr>
        <w:t>2018 年部门预算公开报表</w:t>
      </w:r>
    </w:p>
    <w:p>
      <w:pPr>
        <w:keepNext w:val="0"/>
        <w:keepLines w:val="0"/>
        <w:pageBreakBefore w:val="0"/>
        <w:widowControl w:val="0"/>
        <w:kinsoku/>
        <w:wordWrap/>
        <w:overflowPunct/>
        <w:topLinePunct w:val="0"/>
        <w:autoSpaceDE w:val="0"/>
        <w:autoSpaceDN w:val="0"/>
        <w:bidi w:val="0"/>
        <w:adjustRightInd w:val="0"/>
        <w:snapToGrid/>
        <w:spacing w:line="600" w:lineRule="exact"/>
        <w:ind w:right="0" w:rightChars="0"/>
        <w:jc w:val="left"/>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 xml:space="preserve">    一、2018 年部门收支总体情况表</w:t>
      </w:r>
    </w:p>
    <w:p>
      <w:pPr>
        <w:keepNext w:val="0"/>
        <w:keepLines w:val="0"/>
        <w:pageBreakBefore w:val="0"/>
        <w:widowControl w:val="0"/>
        <w:kinsoku/>
        <w:wordWrap/>
        <w:overflowPunct/>
        <w:topLinePunct w:val="0"/>
        <w:autoSpaceDE w:val="0"/>
        <w:autoSpaceDN w:val="0"/>
        <w:bidi w:val="0"/>
        <w:adjustRightInd w:val="0"/>
        <w:snapToGrid/>
        <w:spacing w:line="600" w:lineRule="exact"/>
        <w:ind w:right="0" w:rightChars="0"/>
        <w:jc w:val="left"/>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 xml:space="preserve">    二、2018 年部门收入总体情况表</w:t>
      </w:r>
    </w:p>
    <w:p>
      <w:pPr>
        <w:keepNext w:val="0"/>
        <w:keepLines w:val="0"/>
        <w:pageBreakBefore w:val="0"/>
        <w:widowControl w:val="0"/>
        <w:kinsoku/>
        <w:wordWrap/>
        <w:overflowPunct/>
        <w:topLinePunct w:val="0"/>
        <w:autoSpaceDE w:val="0"/>
        <w:autoSpaceDN w:val="0"/>
        <w:bidi w:val="0"/>
        <w:adjustRightInd w:val="0"/>
        <w:snapToGrid/>
        <w:spacing w:line="600" w:lineRule="exact"/>
        <w:ind w:right="0" w:rightChars="0"/>
        <w:jc w:val="left"/>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 xml:space="preserve">    三、2018 年部门支出总体情况表</w:t>
      </w:r>
    </w:p>
    <w:p>
      <w:pPr>
        <w:keepNext w:val="0"/>
        <w:keepLines w:val="0"/>
        <w:pageBreakBefore w:val="0"/>
        <w:widowControl w:val="0"/>
        <w:kinsoku/>
        <w:wordWrap/>
        <w:overflowPunct/>
        <w:topLinePunct w:val="0"/>
        <w:autoSpaceDE w:val="0"/>
        <w:autoSpaceDN w:val="0"/>
        <w:bidi w:val="0"/>
        <w:adjustRightInd w:val="0"/>
        <w:snapToGrid/>
        <w:spacing w:line="600" w:lineRule="exact"/>
        <w:ind w:right="0" w:rightChars="0" w:firstLine="640"/>
        <w:jc w:val="left"/>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 xml:space="preserve">四、2018 年财政拨款收支总体情况表    </w:t>
      </w:r>
    </w:p>
    <w:p>
      <w:pPr>
        <w:keepNext w:val="0"/>
        <w:keepLines w:val="0"/>
        <w:pageBreakBefore w:val="0"/>
        <w:widowControl w:val="0"/>
        <w:kinsoku/>
        <w:wordWrap/>
        <w:overflowPunct/>
        <w:topLinePunct w:val="0"/>
        <w:autoSpaceDE w:val="0"/>
        <w:autoSpaceDN w:val="0"/>
        <w:bidi w:val="0"/>
        <w:adjustRightInd w:val="0"/>
        <w:snapToGrid/>
        <w:spacing w:line="600" w:lineRule="exact"/>
        <w:ind w:right="0" w:rightChars="0" w:firstLine="640" w:firstLineChars="200"/>
        <w:jc w:val="left"/>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五、2018 年一般公共预算支出情况表</w:t>
      </w:r>
    </w:p>
    <w:p>
      <w:pPr>
        <w:keepNext w:val="0"/>
        <w:keepLines w:val="0"/>
        <w:pageBreakBefore w:val="0"/>
        <w:widowControl w:val="0"/>
        <w:kinsoku/>
        <w:wordWrap/>
        <w:overflowPunct/>
        <w:topLinePunct w:val="0"/>
        <w:autoSpaceDE w:val="0"/>
        <w:autoSpaceDN w:val="0"/>
        <w:bidi w:val="0"/>
        <w:adjustRightInd w:val="0"/>
        <w:snapToGrid/>
        <w:spacing w:line="600" w:lineRule="exact"/>
        <w:ind w:right="0" w:rightChars="0" w:firstLine="640"/>
        <w:jc w:val="left"/>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六、2018</w:t>
      </w:r>
      <w:r>
        <w:rPr>
          <w:rFonts w:hint="default" w:ascii="仿宋" w:hAnsi="仿宋" w:eastAsia="仿宋" w:cs="仿宋"/>
          <w:kern w:val="0"/>
          <w:sz w:val="32"/>
          <w:szCs w:val="32"/>
          <w:lang w:val="en-US"/>
        </w:rPr>
        <w:t xml:space="preserve"> </w:t>
      </w:r>
      <w:r>
        <w:rPr>
          <w:rFonts w:hint="eastAsia" w:ascii="仿宋" w:hAnsi="仿宋" w:eastAsia="仿宋" w:cs="仿宋"/>
          <w:kern w:val="0"/>
          <w:sz w:val="32"/>
          <w:szCs w:val="32"/>
        </w:rPr>
        <w:t>年支出经济分类汇总表</w:t>
      </w:r>
    </w:p>
    <w:p>
      <w:pPr>
        <w:keepNext w:val="0"/>
        <w:keepLines w:val="0"/>
        <w:pageBreakBefore w:val="0"/>
        <w:widowControl w:val="0"/>
        <w:kinsoku/>
        <w:wordWrap/>
        <w:overflowPunct/>
        <w:topLinePunct w:val="0"/>
        <w:autoSpaceDE w:val="0"/>
        <w:autoSpaceDN w:val="0"/>
        <w:bidi w:val="0"/>
        <w:adjustRightInd w:val="0"/>
        <w:snapToGrid/>
        <w:spacing w:line="600" w:lineRule="exact"/>
        <w:ind w:right="0" w:rightChars="0"/>
        <w:jc w:val="left"/>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 xml:space="preserve">    七、2018 年一般公共预算基本支出情况表</w:t>
      </w:r>
    </w:p>
    <w:p>
      <w:pPr>
        <w:keepNext w:val="0"/>
        <w:keepLines w:val="0"/>
        <w:pageBreakBefore w:val="0"/>
        <w:widowControl w:val="0"/>
        <w:kinsoku/>
        <w:wordWrap/>
        <w:overflowPunct/>
        <w:topLinePunct w:val="0"/>
        <w:autoSpaceDE w:val="0"/>
        <w:autoSpaceDN w:val="0"/>
        <w:bidi w:val="0"/>
        <w:adjustRightInd w:val="0"/>
        <w:snapToGrid/>
        <w:spacing w:line="600" w:lineRule="exact"/>
        <w:ind w:right="0" w:rightChars="0"/>
        <w:jc w:val="left"/>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 xml:space="preserve">    八、2018 年一般公共预算“三公”经费支出情况表</w:t>
      </w:r>
    </w:p>
    <w:p>
      <w:pPr>
        <w:keepNext w:val="0"/>
        <w:keepLines w:val="0"/>
        <w:pageBreakBefore w:val="0"/>
        <w:widowControl w:val="0"/>
        <w:kinsoku/>
        <w:wordWrap/>
        <w:overflowPunct/>
        <w:topLinePunct w:val="0"/>
        <w:autoSpaceDE w:val="0"/>
        <w:autoSpaceDN w:val="0"/>
        <w:bidi w:val="0"/>
        <w:adjustRightInd w:val="0"/>
        <w:snapToGrid/>
        <w:spacing w:line="600" w:lineRule="exact"/>
        <w:ind w:right="0" w:rightChars="0"/>
        <w:jc w:val="left"/>
        <w:textAlignment w:val="auto"/>
        <w:outlineLvl w:val="9"/>
        <w:rPr>
          <w:rFonts w:cs="仿宋" w:asciiTheme="minorEastAsia" w:hAnsiTheme="minorEastAsia" w:eastAsiaTheme="minorEastAsia"/>
          <w:kern w:val="0"/>
          <w:sz w:val="32"/>
          <w:szCs w:val="32"/>
        </w:rPr>
      </w:pPr>
      <w:r>
        <w:rPr>
          <w:rFonts w:hint="eastAsia" w:ascii="仿宋" w:hAnsi="仿宋" w:eastAsia="仿宋" w:cs="仿宋"/>
          <w:kern w:val="0"/>
          <w:sz w:val="32"/>
          <w:szCs w:val="32"/>
        </w:rPr>
        <w:t xml:space="preserve">    九、2018 年政府性基金预算支出情况表</w:t>
      </w:r>
    </w:p>
    <w:p>
      <w:pPr>
        <w:keepNext w:val="0"/>
        <w:keepLines w:val="0"/>
        <w:pageBreakBefore w:val="0"/>
        <w:widowControl w:val="0"/>
        <w:kinsoku/>
        <w:wordWrap/>
        <w:overflowPunct/>
        <w:topLinePunct w:val="0"/>
        <w:autoSpaceDE w:val="0"/>
        <w:autoSpaceDN w:val="0"/>
        <w:bidi w:val="0"/>
        <w:adjustRightInd w:val="0"/>
        <w:snapToGrid/>
        <w:spacing w:line="600" w:lineRule="exact"/>
        <w:ind w:right="0" w:rightChars="0"/>
        <w:jc w:val="center"/>
        <w:textAlignment w:val="auto"/>
        <w:outlineLvl w:val="9"/>
        <w:rPr>
          <w:rFonts w:hint="eastAsia" w:ascii="黑体" w:hAnsi="黑体" w:eastAsia="黑体" w:cs="黑体"/>
          <w:kern w:val="0"/>
          <w:sz w:val="32"/>
          <w:szCs w:val="32"/>
        </w:rPr>
      </w:pPr>
    </w:p>
    <w:p>
      <w:pPr>
        <w:keepNext w:val="0"/>
        <w:keepLines w:val="0"/>
        <w:pageBreakBefore w:val="0"/>
        <w:widowControl w:val="0"/>
        <w:kinsoku/>
        <w:wordWrap/>
        <w:overflowPunct/>
        <w:topLinePunct w:val="0"/>
        <w:autoSpaceDE w:val="0"/>
        <w:autoSpaceDN w:val="0"/>
        <w:bidi w:val="0"/>
        <w:adjustRightInd w:val="0"/>
        <w:snapToGrid/>
        <w:spacing w:line="600" w:lineRule="exact"/>
        <w:ind w:right="0" w:rightChars="0"/>
        <w:jc w:val="center"/>
        <w:textAlignment w:val="auto"/>
        <w:outlineLvl w:val="9"/>
        <w:rPr>
          <w:rFonts w:hint="eastAsia" w:ascii="黑体" w:hAnsi="黑体" w:eastAsia="黑体" w:cs="黑体"/>
          <w:kern w:val="0"/>
          <w:sz w:val="32"/>
          <w:szCs w:val="32"/>
        </w:rPr>
      </w:pPr>
    </w:p>
    <w:p>
      <w:pPr>
        <w:keepNext w:val="0"/>
        <w:keepLines w:val="0"/>
        <w:pageBreakBefore w:val="0"/>
        <w:widowControl w:val="0"/>
        <w:kinsoku/>
        <w:wordWrap/>
        <w:overflowPunct/>
        <w:topLinePunct w:val="0"/>
        <w:autoSpaceDE w:val="0"/>
        <w:autoSpaceDN w:val="0"/>
        <w:bidi w:val="0"/>
        <w:adjustRightInd w:val="0"/>
        <w:snapToGrid/>
        <w:spacing w:line="600" w:lineRule="exact"/>
        <w:ind w:right="0" w:rightChars="0"/>
        <w:jc w:val="center"/>
        <w:textAlignment w:val="auto"/>
        <w:outlineLvl w:val="9"/>
        <w:rPr>
          <w:rFonts w:hint="eastAsia" w:ascii="黑体" w:hAnsi="黑体" w:eastAsia="黑体" w:cs="黑体"/>
          <w:kern w:val="0"/>
          <w:sz w:val="32"/>
          <w:szCs w:val="32"/>
        </w:rPr>
      </w:pPr>
    </w:p>
    <w:p>
      <w:pPr>
        <w:keepNext w:val="0"/>
        <w:keepLines w:val="0"/>
        <w:pageBreakBefore w:val="0"/>
        <w:widowControl w:val="0"/>
        <w:kinsoku/>
        <w:wordWrap/>
        <w:overflowPunct/>
        <w:topLinePunct w:val="0"/>
        <w:autoSpaceDE w:val="0"/>
        <w:autoSpaceDN w:val="0"/>
        <w:bidi w:val="0"/>
        <w:adjustRightInd w:val="0"/>
        <w:snapToGrid/>
        <w:spacing w:line="600" w:lineRule="exact"/>
        <w:ind w:right="0" w:rightChars="0"/>
        <w:jc w:val="center"/>
        <w:textAlignment w:val="auto"/>
        <w:outlineLvl w:val="9"/>
        <w:rPr>
          <w:rFonts w:hint="eastAsia" w:ascii="黑体" w:hAnsi="黑体" w:eastAsia="黑体" w:cs="黑体"/>
          <w:kern w:val="0"/>
          <w:sz w:val="32"/>
          <w:szCs w:val="32"/>
        </w:rPr>
      </w:pPr>
    </w:p>
    <w:p>
      <w:pPr>
        <w:keepNext w:val="0"/>
        <w:keepLines w:val="0"/>
        <w:pageBreakBefore w:val="0"/>
        <w:widowControl w:val="0"/>
        <w:kinsoku/>
        <w:wordWrap/>
        <w:overflowPunct/>
        <w:topLinePunct w:val="0"/>
        <w:autoSpaceDE w:val="0"/>
        <w:autoSpaceDN w:val="0"/>
        <w:bidi w:val="0"/>
        <w:adjustRightInd w:val="0"/>
        <w:snapToGrid/>
        <w:spacing w:line="600" w:lineRule="exact"/>
        <w:ind w:right="0" w:rightChars="0"/>
        <w:jc w:val="center"/>
        <w:textAlignment w:val="auto"/>
        <w:outlineLvl w:val="9"/>
        <w:rPr>
          <w:rFonts w:hint="eastAsia" w:ascii="黑体" w:hAnsi="黑体" w:eastAsia="黑体" w:cs="黑体"/>
          <w:kern w:val="0"/>
          <w:sz w:val="32"/>
          <w:szCs w:val="32"/>
        </w:rPr>
      </w:pPr>
      <w:r>
        <w:rPr>
          <w:rFonts w:hint="eastAsia" w:ascii="黑体" w:hAnsi="黑体" w:eastAsia="黑体" w:cs="黑体"/>
          <w:kern w:val="0"/>
          <w:sz w:val="32"/>
          <w:szCs w:val="32"/>
        </w:rPr>
        <w:t>第一部分</w:t>
      </w:r>
    </w:p>
    <w:p>
      <w:pPr>
        <w:keepNext w:val="0"/>
        <w:keepLines w:val="0"/>
        <w:pageBreakBefore w:val="0"/>
        <w:widowControl w:val="0"/>
        <w:kinsoku/>
        <w:wordWrap/>
        <w:overflowPunct/>
        <w:topLinePunct w:val="0"/>
        <w:autoSpaceDE w:val="0"/>
        <w:autoSpaceDN w:val="0"/>
        <w:bidi w:val="0"/>
        <w:adjustRightInd w:val="0"/>
        <w:snapToGrid/>
        <w:spacing w:line="600" w:lineRule="exact"/>
        <w:ind w:right="0" w:rightChars="0"/>
        <w:jc w:val="center"/>
        <w:textAlignment w:val="auto"/>
        <w:outlineLvl w:val="9"/>
        <w:rPr>
          <w:rFonts w:hint="eastAsia" w:ascii="黑体" w:hAnsi="黑体" w:eastAsia="黑体" w:cs="黑体"/>
          <w:kern w:val="0"/>
          <w:sz w:val="32"/>
          <w:szCs w:val="32"/>
        </w:rPr>
      </w:pPr>
      <w:r>
        <w:rPr>
          <w:rFonts w:hint="eastAsia" w:ascii="黑体" w:hAnsi="黑体" w:eastAsia="黑体" w:cs="黑体"/>
          <w:kern w:val="0"/>
          <w:sz w:val="32"/>
          <w:szCs w:val="32"/>
          <w:lang w:eastAsia="zh-CN"/>
        </w:rPr>
        <w:t>老干部局</w:t>
      </w:r>
      <w:r>
        <w:rPr>
          <w:rFonts w:hint="eastAsia" w:ascii="黑体" w:hAnsi="黑体" w:eastAsia="黑体" w:cs="黑体"/>
          <w:kern w:val="0"/>
          <w:sz w:val="32"/>
          <w:szCs w:val="32"/>
        </w:rPr>
        <w:t>部门概况</w:t>
      </w:r>
    </w:p>
    <w:p>
      <w:pPr>
        <w:keepNext w:val="0"/>
        <w:keepLines w:val="0"/>
        <w:pageBreakBefore w:val="0"/>
        <w:widowControl w:val="0"/>
        <w:kinsoku/>
        <w:wordWrap/>
        <w:overflowPunct/>
        <w:topLinePunct w:val="0"/>
        <w:autoSpaceDE w:val="0"/>
        <w:autoSpaceDN w:val="0"/>
        <w:bidi w:val="0"/>
        <w:adjustRightInd w:val="0"/>
        <w:snapToGrid/>
        <w:spacing w:line="600" w:lineRule="exact"/>
        <w:ind w:right="0" w:rightChars="0"/>
        <w:jc w:val="left"/>
        <w:textAlignment w:val="auto"/>
        <w:outlineLvl w:val="9"/>
        <w:rPr>
          <w:rFonts w:ascii="黑体" w:eastAsia="黑体" w:cs="黑体"/>
          <w:kern w:val="0"/>
          <w:sz w:val="32"/>
          <w:szCs w:val="32"/>
        </w:rPr>
      </w:pPr>
      <w:r>
        <w:rPr>
          <w:rFonts w:hint="eastAsia" w:ascii="黑体" w:eastAsia="黑体" w:cs="黑体"/>
          <w:kern w:val="0"/>
          <w:sz w:val="32"/>
          <w:szCs w:val="32"/>
        </w:rPr>
        <w:t xml:space="preserve">    </w:t>
      </w:r>
      <w:r>
        <w:rPr>
          <w:rFonts w:hint="default" w:ascii="黑体" w:eastAsia="黑体" w:cs="黑体"/>
          <w:kern w:val="0"/>
          <w:sz w:val="32"/>
          <w:szCs w:val="32"/>
          <w:lang w:val="en-US"/>
        </w:rPr>
        <w:t xml:space="preserve"> </w:t>
      </w:r>
      <w:r>
        <w:rPr>
          <w:rFonts w:hint="eastAsia" w:ascii="黑体" w:eastAsia="黑体" w:cs="黑体"/>
          <w:kern w:val="0"/>
          <w:sz w:val="32"/>
          <w:szCs w:val="32"/>
        </w:rPr>
        <w:t>一、</w:t>
      </w:r>
      <w:r>
        <w:rPr>
          <w:rFonts w:hint="eastAsia" w:ascii="黑体" w:eastAsia="黑体" w:cs="黑体"/>
          <w:kern w:val="0"/>
          <w:sz w:val="32"/>
          <w:szCs w:val="32"/>
          <w:lang w:eastAsia="zh-CN"/>
        </w:rPr>
        <w:t>老干部局</w:t>
      </w:r>
      <w:r>
        <w:rPr>
          <w:rFonts w:hint="eastAsia" w:ascii="黑体" w:eastAsia="黑体" w:cs="黑体"/>
          <w:kern w:val="0"/>
          <w:sz w:val="32"/>
          <w:szCs w:val="32"/>
        </w:rPr>
        <w:t>主要职</w:t>
      </w:r>
      <w:r>
        <w:rPr>
          <w:rFonts w:hint="eastAsia" w:ascii="黑体" w:eastAsia="黑体" w:cs="黑体"/>
          <w:kern w:val="0"/>
          <w:sz w:val="32"/>
          <w:szCs w:val="32"/>
          <w:lang w:eastAsia="zh-CN"/>
        </w:rPr>
        <w:t>责</w:t>
      </w:r>
    </w:p>
    <w:p>
      <w:pPr>
        <w:keepNext w:val="0"/>
        <w:keepLines w:val="0"/>
        <w:pageBreakBefore w:val="0"/>
        <w:widowControl w:val="0"/>
        <w:kinsoku/>
        <w:wordWrap/>
        <w:overflowPunct/>
        <w:topLinePunct w:val="0"/>
        <w:autoSpaceDE w:val="0"/>
        <w:autoSpaceDN w:val="0"/>
        <w:bidi w:val="0"/>
        <w:adjustRightInd w:val="0"/>
        <w:snapToGrid/>
        <w:spacing w:line="600" w:lineRule="exact"/>
        <w:ind w:right="0" w:rightChars="0"/>
        <w:jc w:val="left"/>
        <w:textAlignment w:val="auto"/>
        <w:outlineLvl w:val="9"/>
        <w:rPr>
          <w:rFonts w:hint="eastAsia" w:ascii="仿宋" w:hAnsi="仿宋" w:eastAsia="仿宋" w:cs="仿宋"/>
          <w:kern w:val="0"/>
          <w:sz w:val="32"/>
          <w:szCs w:val="32"/>
        </w:rPr>
      </w:pPr>
      <w:r>
        <w:rPr>
          <w:rFonts w:hint="eastAsia" w:ascii="楷体" w:eastAsia="楷体" w:cs="楷体"/>
          <w:kern w:val="0"/>
          <w:sz w:val="32"/>
          <w:szCs w:val="32"/>
        </w:rPr>
        <w:t xml:space="preserve">   </w:t>
      </w:r>
      <w:r>
        <w:rPr>
          <w:rFonts w:hint="eastAsia" w:cs="楷体" w:asciiTheme="minorEastAsia" w:hAnsiTheme="minorEastAsia" w:eastAsiaTheme="minorEastAsia"/>
          <w:kern w:val="0"/>
          <w:sz w:val="32"/>
          <w:szCs w:val="32"/>
        </w:rPr>
        <w:t xml:space="preserve"> </w:t>
      </w:r>
      <w:r>
        <w:rPr>
          <w:rFonts w:hint="eastAsia" w:ascii="仿宋" w:hAnsi="仿宋" w:eastAsia="仿宋" w:cs="仿宋"/>
          <w:kern w:val="0"/>
          <w:sz w:val="32"/>
          <w:szCs w:val="32"/>
        </w:rPr>
        <w:t>（一）机构设置情况</w:t>
      </w:r>
    </w:p>
    <w:p>
      <w:pPr>
        <w:keepNext w:val="0"/>
        <w:keepLines w:val="0"/>
        <w:pageBreakBefore w:val="0"/>
        <w:widowControl w:val="0"/>
        <w:kinsoku/>
        <w:wordWrap/>
        <w:overflowPunct/>
        <w:topLinePunct w:val="0"/>
        <w:autoSpaceDE w:val="0"/>
        <w:autoSpaceDN w:val="0"/>
        <w:bidi w:val="0"/>
        <w:adjustRightInd w:val="0"/>
        <w:snapToGrid/>
        <w:spacing w:line="600" w:lineRule="exact"/>
        <w:ind w:right="0" w:rightChars="0" w:firstLine="800" w:firstLineChars="250"/>
        <w:jc w:val="left"/>
        <w:textAlignment w:val="auto"/>
        <w:outlineLvl w:val="9"/>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老干部局</w:t>
      </w:r>
      <w:r>
        <w:rPr>
          <w:rFonts w:hint="eastAsia" w:ascii="仿宋" w:hAnsi="仿宋" w:eastAsia="仿宋" w:cs="仿宋"/>
          <w:kern w:val="0"/>
          <w:sz w:val="32"/>
          <w:szCs w:val="32"/>
        </w:rPr>
        <w:t>是</w:t>
      </w:r>
      <w:r>
        <w:rPr>
          <w:rFonts w:hint="eastAsia" w:ascii="仿宋" w:hAnsi="仿宋" w:eastAsia="仿宋" w:cs="仿宋"/>
          <w:kern w:val="0"/>
          <w:sz w:val="32"/>
          <w:szCs w:val="32"/>
          <w:lang w:eastAsia="zh-CN"/>
        </w:rPr>
        <w:t>主管全县离休老干部工作</w:t>
      </w:r>
      <w:r>
        <w:rPr>
          <w:rFonts w:hint="eastAsia" w:ascii="仿宋" w:hAnsi="仿宋" w:eastAsia="仿宋" w:cs="仿宋"/>
          <w:kern w:val="0"/>
          <w:sz w:val="32"/>
          <w:szCs w:val="32"/>
        </w:rPr>
        <w:t>的</w:t>
      </w:r>
      <w:r>
        <w:rPr>
          <w:rFonts w:hint="eastAsia" w:ascii="仿宋" w:hAnsi="仿宋" w:eastAsia="仿宋" w:cs="仿宋"/>
          <w:kern w:val="0"/>
          <w:sz w:val="32"/>
          <w:szCs w:val="32"/>
          <w:lang w:eastAsia="zh-CN"/>
        </w:rPr>
        <w:t>主管</w:t>
      </w:r>
      <w:r>
        <w:rPr>
          <w:rFonts w:hint="eastAsia" w:ascii="仿宋" w:hAnsi="仿宋" w:eastAsia="仿宋" w:cs="仿宋"/>
          <w:kern w:val="0"/>
          <w:sz w:val="32"/>
          <w:szCs w:val="32"/>
        </w:rPr>
        <w:t>部门，</w:t>
      </w:r>
      <w:r>
        <w:rPr>
          <w:rFonts w:hint="eastAsia" w:ascii="仿宋" w:hAnsi="仿宋" w:eastAsia="仿宋" w:cs="仿宋"/>
          <w:kern w:val="0"/>
          <w:sz w:val="32"/>
          <w:szCs w:val="32"/>
          <w:lang w:eastAsia="zh-CN"/>
        </w:rPr>
        <w:t>机构规格为科级，现有编制</w:t>
      </w:r>
      <w:r>
        <w:rPr>
          <w:rFonts w:hint="eastAsia" w:ascii="仿宋" w:hAnsi="仿宋" w:eastAsia="仿宋" w:cs="仿宋"/>
          <w:kern w:val="0"/>
          <w:sz w:val="32"/>
          <w:szCs w:val="32"/>
          <w:lang w:val="en-US" w:eastAsia="zh-CN"/>
        </w:rPr>
        <w:t>13个。其中行政编制8个，事业编制5个，</w:t>
      </w:r>
      <w:r>
        <w:rPr>
          <w:rFonts w:hint="eastAsia" w:ascii="仿宋" w:hAnsi="仿宋" w:eastAsia="仿宋" w:cs="仿宋"/>
          <w:kern w:val="0"/>
          <w:sz w:val="32"/>
          <w:szCs w:val="32"/>
        </w:rPr>
        <w:t>在</w:t>
      </w:r>
      <w:r>
        <w:rPr>
          <w:rFonts w:hint="eastAsia" w:ascii="仿宋" w:hAnsi="仿宋" w:eastAsia="仿宋" w:cs="仿宋"/>
          <w:kern w:val="0"/>
          <w:sz w:val="32"/>
          <w:szCs w:val="32"/>
          <w:lang w:eastAsia="zh-CN"/>
        </w:rPr>
        <w:t>职</w:t>
      </w:r>
      <w:r>
        <w:rPr>
          <w:rFonts w:hint="eastAsia" w:ascii="仿宋" w:hAnsi="仿宋" w:eastAsia="仿宋" w:cs="仿宋"/>
          <w:kern w:val="0"/>
          <w:sz w:val="32"/>
          <w:szCs w:val="32"/>
        </w:rPr>
        <w:t>人员</w:t>
      </w:r>
      <w:r>
        <w:rPr>
          <w:rFonts w:hint="eastAsia" w:ascii="仿宋" w:hAnsi="仿宋" w:eastAsia="仿宋" w:cs="仿宋"/>
          <w:kern w:val="0"/>
          <w:sz w:val="32"/>
          <w:szCs w:val="32"/>
          <w:lang w:val="en-US" w:eastAsia="zh-CN"/>
        </w:rPr>
        <w:t>16</w:t>
      </w:r>
      <w:r>
        <w:rPr>
          <w:rFonts w:hint="eastAsia" w:ascii="仿宋" w:hAnsi="仿宋" w:eastAsia="仿宋" w:cs="仿宋"/>
          <w:kern w:val="0"/>
          <w:sz w:val="32"/>
          <w:szCs w:val="32"/>
        </w:rPr>
        <w:t xml:space="preserve"> 人，离退休人员</w:t>
      </w:r>
      <w:r>
        <w:rPr>
          <w:rFonts w:hint="eastAsia" w:ascii="仿宋" w:hAnsi="仿宋" w:eastAsia="仿宋" w:cs="仿宋"/>
          <w:kern w:val="0"/>
          <w:sz w:val="32"/>
          <w:szCs w:val="32"/>
          <w:lang w:val="en-US" w:eastAsia="zh-CN"/>
        </w:rPr>
        <w:t>8</w:t>
      </w:r>
      <w:r>
        <w:rPr>
          <w:rFonts w:hint="eastAsia" w:ascii="仿宋" w:hAnsi="仿宋" w:eastAsia="仿宋" w:cs="仿宋"/>
          <w:kern w:val="0"/>
          <w:sz w:val="32"/>
          <w:szCs w:val="32"/>
        </w:rPr>
        <w:t>人，内设科室</w:t>
      </w:r>
      <w:r>
        <w:rPr>
          <w:rFonts w:hint="eastAsia" w:ascii="仿宋" w:hAnsi="仿宋" w:eastAsia="仿宋" w:cs="仿宋"/>
          <w:kern w:val="0"/>
          <w:sz w:val="32"/>
          <w:szCs w:val="32"/>
          <w:lang w:val="en-US" w:eastAsia="zh-CN"/>
        </w:rPr>
        <w:t>5</w:t>
      </w:r>
      <w:r>
        <w:rPr>
          <w:rFonts w:hint="eastAsia" w:ascii="仿宋" w:hAnsi="仿宋" w:eastAsia="仿宋" w:cs="仿宋"/>
          <w:kern w:val="0"/>
          <w:sz w:val="32"/>
          <w:szCs w:val="32"/>
        </w:rPr>
        <w:t>个</w:t>
      </w:r>
      <w:r>
        <w:rPr>
          <w:rFonts w:hint="eastAsia" w:ascii="仿宋" w:hAnsi="仿宋" w:eastAsia="仿宋" w:cs="仿宋"/>
          <w:kern w:val="0"/>
          <w:sz w:val="32"/>
          <w:szCs w:val="32"/>
          <w:lang w:eastAsia="zh-CN"/>
        </w:rPr>
        <w:t>，主要包括办公室、安置保健股、关心下一代委员会、老年大学、老干部医疗管理办公室，所属事业单位</w:t>
      </w:r>
      <w:r>
        <w:rPr>
          <w:rFonts w:hint="eastAsia" w:ascii="仿宋" w:hAnsi="仿宋" w:eastAsia="仿宋" w:cs="仿宋"/>
          <w:kern w:val="0"/>
          <w:sz w:val="32"/>
          <w:szCs w:val="32"/>
          <w:lang w:val="en-US" w:eastAsia="zh-CN"/>
        </w:rPr>
        <w:t>1个，</w:t>
      </w:r>
      <w:r>
        <w:rPr>
          <w:rFonts w:hint="eastAsia" w:ascii="仿宋" w:hAnsi="仿宋" w:eastAsia="仿宋" w:cs="仿宋"/>
          <w:kern w:val="0"/>
          <w:sz w:val="32"/>
          <w:szCs w:val="32"/>
          <w:lang w:eastAsia="zh-CN"/>
        </w:rPr>
        <w:t>老干部活动中心。</w:t>
      </w:r>
    </w:p>
    <w:p>
      <w:pPr>
        <w:keepNext w:val="0"/>
        <w:keepLines w:val="0"/>
        <w:pageBreakBefore w:val="0"/>
        <w:widowControl w:val="0"/>
        <w:kinsoku/>
        <w:wordWrap/>
        <w:overflowPunct/>
        <w:topLinePunct w:val="0"/>
        <w:autoSpaceDE w:val="0"/>
        <w:autoSpaceDN w:val="0"/>
        <w:bidi w:val="0"/>
        <w:adjustRightInd w:val="0"/>
        <w:snapToGrid/>
        <w:spacing w:line="600" w:lineRule="exact"/>
        <w:ind w:right="0" w:rightChars="0" w:firstLine="480" w:firstLineChars="150"/>
        <w:jc w:val="left"/>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（二）</w:t>
      </w:r>
      <w:r>
        <w:rPr>
          <w:rFonts w:hint="eastAsia" w:ascii="仿宋" w:hAnsi="仿宋" w:eastAsia="仿宋" w:cs="仿宋"/>
          <w:kern w:val="0"/>
          <w:sz w:val="32"/>
          <w:szCs w:val="32"/>
          <w:lang w:eastAsia="zh-CN"/>
        </w:rPr>
        <w:t>主要</w:t>
      </w:r>
      <w:r>
        <w:rPr>
          <w:rFonts w:hint="eastAsia" w:ascii="仿宋" w:hAnsi="仿宋" w:eastAsia="仿宋" w:cs="仿宋"/>
          <w:kern w:val="0"/>
          <w:sz w:val="32"/>
          <w:szCs w:val="32"/>
        </w:rPr>
        <w:t>职责</w:t>
      </w:r>
    </w:p>
    <w:p>
      <w:pPr>
        <w:keepNext w:val="0"/>
        <w:keepLines w:val="0"/>
        <w:pageBreakBefore w:val="0"/>
        <w:widowControl w:val="0"/>
        <w:kinsoku/>
        <w:wordWrap/>
        <w:overflowPunct/>
        <w:topLinePunct w:val="0"/>
        <w:autoSpaceDE w:val="0"/>
        <w:autoSpaceDN w:val="0"/>
        <w:bidi w:val="0"/>
        <w:adjustRightInd w:val="0"/>
        <w:snapToGrid/>
        <w:spacing w:line="600" w:lineRule="exact"/>
        <w:ind w:right="0" w:rightChars="0"/>
        <w:jc w:val="left"/>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 xml:space="preserve">    1、</w:t>
      </w:r>
      <w:r>
        <w:rPr>
          <w:rFonts w:hint="eastAsia" w:ascii="仿宋" w:hAnsi="仿宋" w:eastAsia="仿宋" w:cs="仿宋"/>
          <w:kern w:val="0"/>
          <w:sz w:val="32"/>
          <w:szCs w:val="32"/>
          <w:lang w:eastAsia="zh-CN"/>
        </w:rPr>
        <w:t>贯彻执行党中央、国务院、省委、省政府关于老干部工作的方针、政策、结合我县老干部工作实际，会同有关部门研究制定有关具体政策、规定和办法；负责对各乡镇和县直单位老干部工作进行检查指导</w:t>
      </w:r>
    </w:p>
    <w:p>
      <w:pPr>
        <w:keepNext w:val="0"/>
        <w:keepLines w:val="0"/>
        <w:pageBreakBefore w:val="0"/>
        <w:widowControl w:val="0"/>
        <w:kinsoku/>
        <w:wordWrap/>
        <w:overflowPunct/>
        <w:topLinePunct w:val="0"/>
        <w:autoSpaceDE w:val="0"/>
        <w:autoSpaceDN w:val="0"/>
        <w:bidi w:val="0"/>
        <w:adjustRightInd w:val="0"/>
        <w:snapToGrid/>
        <w:spacing w:line="600" w:lineRule="exact"/>
        <w:ind w:right="0" w:rightChars="0" w:firstLine="640"/>
        <w:jc w:val="left"/>
        <w:textAlignment w:val="auto"/>
        <w:outlineLvl w:val="9"/>
        <w:rPr>
          <w:rFonts w:hint="eastAsia" w:ascii="仿宋" w:hAnsi="仿宋" w:eastAsia="仿宋" w:cs="仿宋"/>
          <w:kern w:val="0"/>
          <w:sz w:val="32"/>
          <w:szCs w:val="32"/>
          <w:lang w:eastAsia="zh-CN"/>
        </w:rPr>
      </w:pPr>
      <w:r>
        <w:rPr>
          <w:rFonts w:hint="eastAsia" w:ascii="仿宋" w:hAnsi="仿宋" w:eastAsia="仿宋" w:cs="仿宋"/>
          <w:kern w:val="0"/>
          <w:sz w:val="32"/>
          <w:szCs w:val="32"/>
        </w:rPr>
        <w:t>2、</w:t>
      </w:r>
      <w:r>
        <w:rPr>
          <w:rFonts w:hint="eastAsia" w:ascii="仿宋" w:hAnsi="仿宋" w:eastAsia="仿宋" w:cs="仿宋"/>
          <w:kern w:val="0"/>
          <w:sz w:val="32"/>
          <w:szCs w:val="32"/>
          <w:lang w:eastAsia="zh-CN"/>
        </w:rPr>
        <w:t>做好离休干部的思想政治工作，了解老干部局的思想情况要求，及时向上级反映，并协助有关部门做好工作。</w:t>
      </w:r>
    </w:p>
    <w:p>
      <w:pPr>
        <w:keepNext w:val="0"/>
        <w:keepLines w:val="0"/>
        <w:pageBreakBefore w:val="0"/>
        <w:widowControl w:val="0"/>
        <w:kinsoku/>
        <w:wordWrap/>
        <w:overflowPunct/>
        <w:topLinePunct w:val="0"/>
        <w:autoSpaceDE w:val="0"/>
        <w:autoSpaceDN w:val="0"/>
        <w:bidi w:val="0"/>
        <w:adjustRightInd w:val="0"/>
        <w:snapToGrid/>
        <w:spacing w:line="600" w:lineRule="exact"/>
        <w:ind w:right="0" w:rightChars="0" w:firstLine="640"/>
        <w:jc w:val="left"/>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3、协同有关部门做好离休干部的管理服务工作，检查落实老干部局的政治待遇和生活待遇，使老干部共享改革和经济发展成果。</w:t>
      </w:r>
      <w:r>
        <w:rPr>
          <w:rFonts w:hint="eastAsia" w:ascii="仿宋" w:hAnsi="仿宋" w:eastAsia="仿宋" w:cs="仿宋"/>
          <w:kern w:val="0"/>
          <w:sz w:val="32"/>
          <w:szCs w:val="32"/>
        </w:rPr>
        <w:t xml:space="preserve">    </w:t>
      </w:r>
      <w:r>
        <w:rPr>
          <w:rFonts w:hint="eastAsia" w:ascii="仿宋" w:hAnsi="仿宋" w:eastAsia="仿宋" w:cs="仿宋"/>
          <w:kern w:val="0"/>
          <w:sz w:val="32"/>
          <w:szCs w:val="32"/>
          <w:lang w:val="en-US" w:eastAsia="zh-CN"/>
        </w:rPr>
        <w:t xml:space="preserve">        </w:t>
      </w:r>
    </w:p>
    <w:p>
      <w:pPr>
        <w:keepNext w:val="0"/>
        <w:keepLines w:val="0"/>
        <w:pageBreakBefore w:val="0"/>
        <w:widowControl w:val="0"/>
        <w:kinsoku/>
        <w:wordWrap/>
        <w:overflowPunct/>
        <w:topLinePunct w:val="0"/>
        <w:autoSpaceDE w:val="0"/>
        <w:autoSpaceDN w:val="0"/>
        <w:bidi w:val="0"/>
        <w:adjustRightInd w:val="0"/>
        <w:snapToGrid/>
        <w:spacing w:line="600" w:lineRule="exact"/>
        <w:ind w:right="0" w:rightChars="0" w:firstLine="640"/>
        <w:jc w:val="left"/>
        <w:textAlignment w:val="auto"/>
        <w:outlineLvl w:val="9"/>
        <w:rPr>
          <w:rFonts w:hint="eastAsia" w:ascii="仿宋" w:hAnsi="仿宋" w:eastAsia="仿宋" w:cs="仿宋"/>
          <w:kern w:val="0"/>
          <w:sz w:val="32"/>
          <w:szCs w:val="32"/>
          <w:lang w:eastAsia="zh-CN"/>
        </w:rPr>
      </w:pPr>
      <w:r>
        <w:rPr>
          <w:rFonts w:hint="eastAsia" w:ascii="仿宋" w:hAnsi="仿宋" w:eastAsia="仿宋" w:cs="仿宋"/>
          <w:kern w:val="0"/>
          <w:sz w:val="32"/>
          <w:szCs w:val="32"/>
        </w:rPr>
        <w:t xml:space="preserve">4、 </w:t>
      </w:r>
      <w:r>
        <w:rPr>
          <w:rFonts w:hint="eastAsia" w:ascii="仿宋" w:hAnsi="仿宋" w:eastAsia="仿宋" w:cs="仿宋"/>
          <w:kern w:val="0"/>
          <w:sz w:val="32"/>
          <w:szCs w:val="32"/>
          <w:lang w:eastAsia="zh-CN"/>
        </w:rPr>
        <w:t>建立完善离休干部“两费”保障机制和财政支持机制，确保离休干部离休费的及时足额发放和医药费按规定实报实销。</w:t>
      </w:r>
    </w:p>
    <w:p>
      <w:pPr>
        <w:keepNext w:val="0"/>
        <w:keepLines w:val="0"/>
        <w:pageBreakBefore w:val="0"/>
        <w:widowControl w:val="0"/>
        <w:kinsoku/>
        <w:wordWrap/>
        <w:overflowPunct/>
        <w:topLinePunct w:val="0"/>
        <w:autoSpaceDE w:val="0"/>
        <w:autoSpaceDN w:val="0"/>
        <w:bidi w:val="0"/>
        <w:adjustRightInd w:val="0"/>
        <w:snapToGrid/>
        <w:spacing w:line="600" w:lineRule="exact"/>
        <w:ind w:right="0" w:rightChars="0" w:firstLine="640"/>
        <w:jc w:val="left"/>
        <w:textAlignment w:val="auto"/>
        <w:outlineLvl w:val="9"/>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5、贯彻落实上级有关老干部医疗保健方面的政策和规定，参与制定老干部医疗保健工作的规定、办法，协同卫生部门做好离退休干部的医疗保健工作；按照上级政策规定抓好离休干部医疗费的管理工作。</w:t>
      </w:r>
    </w:p>
    <w:p>
      <w:pPr>
        <w:keepNext w:val="0"/>
        <w:keepLines w:val="0"/>
        <w:pageBreakBefore w:val="0"/>
        <w:widowControl w:val="0"/>
        <w:kinsoku/>
        <w:wordWrap/>
        <w:overflowPunct/>
        <w:topLinePunct w:val="0"/>
        <w:autoSpaceDE w:val="0"/>
        <w:autoSpaceDN w:val="0"/>
        <w:bidi w:val="0"/>
        <w:adjustRightInd w:val="0"/>
        <w:snapToGrid/>
        <w:spacing w:line="600" w:lineRule="exact"/>
        <w:ind w:right="0" w:rightChars="0" w:firstLine="640"/>
        <w:jc w:val="left"/>
        <w:textAlignment w:val="auto"/>
        <w:outlineLvl w:val="9"/>
        <w:rPr>
          <w:rFonts w:hint="eastAsia" w:ascii="仿宋" w:hAnsi="仿宋" w:eastAsia="仿宋" w:cs="仿宋"/>
          <w:kern w:val="0"/>
          <w:sz w:val="32"/>
          <w:szCs w:val="32"/>
          <w:lang w:eastAsia="zh-CN"/>
        </w:rPr>
      </w:pPr>
      <w:r>
        <w:rPr>
          <w:rFonts w:hint="eastAsia" w:ascii="仿宋" w:hAnsi="仿宋" w:eastAsia="仿宋" w:cs="仿宋"/>
          <w:kern w:val="0"/>
          <w:sz w:val="32"/>
          <w:szCs w:val="32"/>
        </w:rPr>
        <w:t>6、</w:t>
      </w:r>
      <w:r>
        <w:rPr>
          <w:rFonts w:hint="eastAsia" w:ascii="仿宋" w:hAnsi="仿宋" w:eastAsia="仿宋" w:cs="仿宋"/>
          <w:kern w:val="0"/>
          <w:sz w:val="32"/>
          <w:szCs w:val="32"/>
          <w:lang w:eastAsia="zh-CN"/>
        </w:rPr>
        <w:t>组织开展老干部送温暖、献爱心活动；召开离退休干部代表会议，宣传老干部的历史功绩，表彰他们在新的历史时期中的先进事迹。</w:t>
      </w:r>
    </w:p>
    <w:p>
      <w:pPr>
        <w:keepNext w:val="0"/>
        <w:keepLines w:val="0"/>
        <w:pageBreakBefore w:val="0"/>
        <w:widowControl w:val="0"/>
        <w:kinsoku/>
        <w:wordWrap/>
        <w:overflowPunct/>
        <w:topLinePunct w:val="0"/>
        <w:autoSpaceDE w:val="0"/>
        <w:autoSpaceDN w:val="0"/>
        <w:bidi w:val="0"/>
        <w:adjustRightInd w:val="0"/>
        <w:snapToGrid/>
        <w:spacing w:line="600" w:lineRule="exact"/>
        <w:ind w:right="0" w:rightChars="0" w:firstLine="640"/>
        <w:jc w:val="left"/>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7、组织引导老干部发挥积极作用，为两个文明建设做贡献。</w:t>
      </w:r>
    </w:p>
    <w:p>
      <w:pPr>
        <w:keepNext w:val="0"/>
        <w:keepLines w:val="0"/>
        <w:pageBreakBefore w:val="0"/>
        <w:widowControl w:val="0"/>
        <w:kinsoku/>
        <w:wordWrap/>
        <w:overflowPunct/>
        <w:topLinePunct w:val="0"/>
        <w:autoSpaceDE w:val="0"/>
        <w:autoSpaceDN w:val="0"/>
        <w:bidi w:val="0"/>
        <w:adjustRightInd w:val="0"/>
        <w:snapToGrid/>
        <w:spacing w:line="600" w:lineRule="exact"/>
        <w:ind w:right="0" w:rightChars="0" w:firstLine="640"/>
        <w:jc w:val="left"/>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8、</w:t>
      </w:r>
      <w:r>
        <w:rPr>
          <w:rFonts w:hint="eastAsia" w:ascii="仿宋" w:hAnsi="仿宋" w:eastAsia="仿宋" w:cs="仿宋"/>
          <w:kern w:val="0"/>
          <w:sz w:val="32"/>
          <w:szCs w:val="32"/>
          <w:lang w:eastAsia="zh-CN"/>
        </w:rPr>
        <w:t>管理鹿邑县老干部活动中心</w:t>
      </w:r>
      <w:r>
        <w:rPr>
          <w:rFonts w:hint="eastAsia" w:ascii="仿宋" w:hAnsi="仿宋" w:eastAsia="仿宋" w:cs="仿宋"/>
          <w:kern w:val="0"/>
          <w:sz w:val="32"/>
          <w:szCs w:val="32"/>
        </w:rPr>
        <w:t xml:space="preserve">  </w:t>
      </w:r>
    </w:p>
    <w:p>
      <w:pPr>
        <w:keepNext w:val="0"/>
        <w:keepLines w:val="0"/>
        <w:pageBreakBefore w:val="0"/>
        <w:widowControl w:val="0"/>
        <w:kinsoku/>
        <w:wordWrap/>
        <w:overflowPunct/>
        <w:topLinePunct w:val="0"/>
        <w:autoSpaceDE w:val="0"/>
        <w:autoSpaceDN w:val="0"/>
        <w:bidi w:val="0"/>
        <w:adjustRightInd w:val="0"/>
        <w:snapToGrid/>
        <w:spacing w:line="600" w:lineRule="exact"/>
        <w:ind w:right="0" w:rightChars="0" w:firstLine="640"/>
        <w:jc w:val="left"/>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9、检查、督导、指导各乡镇和县直单位的老干部工作，搞好调查研究，总结推广老干部工作方面的经验。</w:t>
      </w:r>
      <w:r>
        <w:rPr>
          <w:rFonts w:hint="eastAsia" w:ascii="仿宋" w:hAnsi="仿宋" w:eastAsia="仿宋" w:cs="仿宋"/>
          <w:kern w:val="0"/>
          <w:sz w:val="32"/>
          <w:szCs w:val="32"/>
        </w:rPr>
        <w:t xml:space="preserve">  </w:t>
      </w:r>
    </w:p>
    <w:p>
      <w:pPr>
        <w:keepNext w:val="0"/>
        <w:keepLines w:val="0"/>
        <w:pageBreakBefore w:val="0"/>
        <w:widowControl w:val="0"/>
        <w:kinsoku/>
        <w:wordWrap/>
        <w:overflowPunct/>
        <w:topLinePunct w:val="0"/>
        <w:autoSpaceDE w:val="0"/>
        <w:autoSpaceDN w:val="0"/>
        <w:bidi w:val="0"/>
        <w:adjustRightInd w:val="0"/>
        <w:snapToGrid/>
        <w:spacing w:line="600" w:lineRule="exact"/>
        <w:ind w:right="0" w:rightChars="0" w:firstLine="640"/>
        <w:jc w:val="left"/>
        <w:textAlignment w:val="auto"/>
        <w:outlineLvl w:val="9"/>
        <w:rPr>
          <w:rFonts w:hint="eastAsia" w:ascii="仿宋" w:hAnsi="仿宋" w:eastAsia="仿宋" w:cs="仿宋"/>
          <w:kern w:val="0"/>
          <w:sz w:val="32"/>
          <w:szCs w:val="32"/>
          <w:lang w:val="en-US" w:eastAsia="zh-CN"/>
        </w:rPr>
      </w:pPr>
      <w:r>
        <w:rPr>
          <w:rFonts w:hint="eastAsia" w:ascii="仿宋" w:hAnsi="仿宋" w:eastAsia="仿宋" w:cs="仿宋"/>
          <w:kern w:val="0"/>
          <w:sz w:val="32"/>
          <w:szCs w:val="32"/>
        </w:rPr>
        <w:t>10、</w:t>
      </w:r>
      <w:r>
        <w:rPr>
          <w:rFonts w:hint="eastAsia" w:ascii="仿宋" w:hAnsi="仿宋" w:eastAsia="仿宋" w:cs="仿宋"/>
          <w:kern w:val="0"/>
          <w:sz w:val="32"/>
          <w:szCs w:val="32"/>
          <w:lang w:eastAsia="zh-CN"/>
        </w:rPr>
        <w:t>做好老干部的护理费的审批和检查督促护理费的落实工作</w:t>
      </w:r>
      <w:r>
        <w:rPr>
          <w:rFonts w:hint="eastAsia" w:ascii="仿宋" w:hAnsi="仿宋" w:eastAsia="仿宋" w:cs="仿宋"/>
          <w:kern w:val="0"/>
          <w:sz w:val="32"/>
          <w:szCs w:val="32"/>
          <w:lang w:val="en-US" w:eastAsia="zh-CN"/>
        </w:rPr>
        <w:t>;协同有关部门处理好老干部逝世后的有关丧事活动。</w:t>
      </w:r>
    </w:p>
    <w:p>
      <w:pPr>
        <w:keepNext w:val="0"/>
        <w:keepLines w:val="0"/>
        <w:pageBreakBefore w:val="0"/>
        <w:widowControl w:val="0"/>
        <w:kinsoku/>
        <w:wordWrap/>
        <w:overflowPunct/>
        <w:topLinePunct w:val="0"/>
        <w:autoSpaceDE w:val="0"/>
        <w:autoSpaceDN w:val="0"/>
        <w:bidi w:val="0"/>
        <w:adjustRightInd w:val="0"/>
        <w:snapToGrid/>
        <w:spacing w:line="600" w:lineRule="exact"/>
        <w:ind w:right="0" w:rightChars="0"/>
        <w:jc w:val="left"/>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 xml:space="preserve">    11、</w:t>
      </w:r>
      <w:r>
        <w:rPr>
          <w:rFonts w:hint="eastAsia" w:ascii="仿宋" w:hAnsi="仿宋" w:eastAsia="仿宋" w:cs="仿宋"/>
          <w:kern w:val="0"/>
          <w:sz w:val="32"/>
          <w:szCs w:val="32"/>
          <w:lang w:eastAsia="zh-CN"/>
        </w:rPr>
        <w:t>负责外地老干部来我县参观考察的接待和我县老干部外出参观考察的组织工作。</w:t>
      </w:r>
    </w:p>
    <w:p>
      <w:pPr>
        <w:keepNext w:val="0"/>
        <w:keepLines w:val="0"/>
        <w:pageBreakBefore w:val="0"/>
        <w:widowControl w:val="0"/>
        <w:kinsoku/>
        <w:wordWrap/>
        <w:overflowPunct/>
        <w:topLinePunct w:val="0"/>
        <w:autoSpaceDE w:val="0"/>
        <w:autoSpaceDN w:val="0"/>
        <w:bidi w:val="0"/>
        <w:adjustRightInd w:val="0"/>
        <w:snapToGrid/>
        <w:spacing w:line="600" w:lineRule="exact"/>
        <w:ind w:right="0" w:rightChars="0" w:firstLine="640"/>
        <w:jc w:val="left"/>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12、</w:t>
      </w:r>
      <w:r>
        <w:rPr>
          <w:rFonts w:hint="eastAsia" w:ascii="仿宋" w:hAnsi="仿宋" w:eastAsia="仿宋" w:cs="仿宋"/>
          <w:kern w:val="0"/>
          <w:sz w:val="32"/>
          <w:szCs w:val="32"/>
          <w:lang w:eastAsia="zh-CN"/>
        </w:rPr>
        <w:t>负责做好离休老干部的来信来访工作</w:t>
      </w:r>
      <w:r>
        <w:rPr>
          <w:rFonts w:hint="eastAsia" w:ascii="仿宋" w:hAnsi="仿宋" w:eastAsia="仿宋" w:cs="仿宋"/>
          <w:kern w:val="0"/>
          <w:sz w:val="32"/>
          <w:szCs w:val="32"/>
        </w:rPr>
        <w:t>。</w:t>
      </w:r>
    </w:p>
    <w:p>
      <w:pPr>
        <w:keepNext w:val="0"/>
        <w:keepLines w:val="0"/>
        <w:pageBreakBefore w:val="0"/>
        <w:widowControl w:val="0"/>
        <w:kinsoku/>
        <w:wordWrap/>
        <w:overflowPunct/>
        <w:topLinePunct w:val="0"/>
        <w:autoSpaceDE w:val="0"/>
        <w:autoSpaceDN w:val="0"/>
        <w:bidi w:val="0"/>
        <w:adjustRightInd w:val="0"/>
        <w:snapToGrid/>
        <w:spacing w:line="600" w:lineRule="exact"/>
        <w:ind w:right="0" w:rightChars="0" w:firstLine="640"/>
        <w:jc w:val="left"/>
        <w:textAlignment w:val="auto"/>
        <w:outlineLvl w:val="9"/>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13、负责全县老干部开展各类文体活动</w:t>
      </w:r>
    </w:p>
    <w:p>
      <w:pPr>
        <w:keepNext w:val="0"/>
        <w:keepLines w:val="0"/>
        <w:pageBreakBefore w:val="0"/>
        <w:widowControl w:val="0"/>
        <w:kinsoku/>
        <w:wordWrap/>
        <w:overflowPunct/>
        <w:topLinePunct w:val="0"/>
        <w:autoSpaceDE w:val="0"/>
        <w:autoSpaceDN w:val="0"/>
        <w:bidi w:val="0"/>
        <w:adjustRightInd w:val="0"/>
        <w:snapToGrid/>
        <w:spacing w:line="600" w:lineRule="exact"/>
        <w:ind w:right="0" w:rightChars="0" w:firstLine="640"/>
        <w:jc w:val="left"/>
        <w:textAlignment w:val="auto"/>
        <w:outlineLvl w:val="9"/>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14、负责组织全县老干部开展关心下一代工作</w:t>
      </w:r>
    </w:p>
    <w:p>
      <w:pPr>
        <w:keepNext w:val="0"/>
        <w:keepLines w:val="0"/>
        <w:pageBreakBefore w:val="0"/>
        <w:widowControl w:val="0"/>
        <w:kinsoku/>
        <w:wordWrap/>
        <w:overflowPunct/>
        <w:topLinePunct w:val="0"/>
        <w:autoSpaceDE w:val="0"/>
        <w:autoSpaceDN w:val="0"/>
        <w:bidi w:val="0"/>
        <w:adjustRightInd w:val="0"/>
        <w:snapToGrid/>
        <w:spacing w:line="600" w:lineRule="exact"/>
        <w:ind w:right="0" w:rightChars="0" w:firstLine="640"/>
        <w:jc w:val="left"/>
        <w:textAlignment w:val="auto"/>
        <w:outlineLvl w:val="9"/>
        <w:rPr>
          <w:rFonts w:hint="eastAsia" w:cs="仿宋" w:asciiTheme="minorEastAsia" w:hAnsiTheme="minorEastAsia" w:eastAsiaTheme="minorEastAsia"/>
          <w:kern w:val="0"/>
          <w:sz w:val="32"/>
          <w:szCs w:val="32"/>
          <w:lang w:val="en-US" w:eastAsia="zh-CN"/>
        </w:rPr>
      </w:pPr>
      <w:r>
        <w:rPr>
          <w:rFonts w:hint="eastAsia" w:ascii="仿宋" w:hAnsi="仿宋" w:eastAsia="仿宋" w:cs="仿宋"/>
          <w:kern w:val="0"/>
          <w:sz w:val="32"/>
          <w:szCs w:val="32"/>
          <w:lang w:val="en-US" w:eastAsia="zh-CN"/>
        </w:rPr>
        <w:t>15、完成县委交给的其它工作任务。</w:t>
      </w:r>
    </w:p>
    <w:p>
      <w:pPr>
        <w:keepNext w:val="0"/>
        <w:keepLines w:val="0"/>
        <w:pageBreakBefore w:val="0"/>
        <w:widowControl w:val="0"/>
        <w:kinsoku/>
        <w:wordWrap/>
        <w:overflowPunct/>
        <w:topLinePunct w:val="0"/>
        <w:autoSpaceDE w:val="0"/>
        <w:autoSpaceDN w:val="0"/>
        <w:bidi w:val="0"/>
        <w:adjustRightInd w:val="0"/>
        <w:snapToGrid/>
        <w:spacing w:line="600" w:lineRule="exact"/>
        <w:ind w:right="0" w:rightChars="0"/>
        <w:jc w:val="left"/>
        <w:textAlignment w:val="auto"/>
        <w:outlineLvl w:val="9"/>
        <w:rPr>
          <w:rFonts w:hint="eastAsia" w:cs="仿宋" w:asciiTheme="minorEastAsia" w:hAnsiTheme="minorEastAsia" w:eastAsiaTheme="minorEastAsia"/>
          <w:b/>
          <w:bCs/>
          <w:kern w:val="0"/>
          <w:sz w:val="32"/>
          <w:szCs w:val="32"/>
        </w:rPr>
      </w:pPr>
      <w:r>
        <w:rPr>
          <w:rFonts w:hint="eastAsia" w:ascii="黑体" w:eastAsia="黑体" w:cs="黑体"/>
          <w:kern w:val="0"/>
          <w:sz w:val="32"/>
          <w:szCs w:val="32"/>
        </w:rPr>
        <w:t xml:space="preserve">  </w:t>
      </w:r>
      <w:r>
        <w:rPr>
          <w:rFonts w:hint="eastAsia" w:ascii="黑体" w:eastAsia="黑体" w:cs="黑体"/>
          <w:kern w:val="0"/>
          <w:sz w:val="32"/>
          <w:szCs w:val="32"/>
          <w:lang w:val="en-US" w:eastAsia="zh-CN"/>
        </w:rPr>
        <w:t xml:space="preserve">  </w:t>
      </w:r>
      <w:r>
        <w:rPr>
          <w:rFonts w:hint="eastAsia" w:cs="仿宋" w:asciiTheme="minorEastAsia" w:hAnsiTheme="minorEastAsia" w:eastAsiaTheme="minorEastAsia"/>
          <w:b/>
          <w:bCs/>
          <w:kern w:val="0"/>
          <w:sz w:val="32"/>
          <w:szCs w:val="32"/>
        </w:rPr>
        <w:t>二、部门预算单位构成</w:t>
      </w:r>
    </w:p>
    <w:p>
      <w:pPr>
        <w:keepNext w:val="0"/>
        <w:keepLines w:val="0"/>
        <w:pageBreakBefore w:val="0"/>
        <w:widowControl w:val="0"/>
        <w:kinsoku/>
        <w:wordWrap/>
        <w:overflowPunct/>
        <w:topLinePunct w:val="0"/>
        <w:autoSpaceDE w:val="0"/>
        <w:autoSpaceDN w:val="0"/>
        <w:bidi w:val="0"/>
        <w:adjustRightInd w:val="0"/>
        <w:snapToGrid/>
        <w:spacing w:line="600" w:lineRule="exact"/>
        <w:ind w:right="0" w:rightChars="0" w:firstLine="640"/>
        <w:jc w:val="left"/>
        <w:textAlignment w:val="auto"/>
        <w:outlineLvl w:val="9"/>
        <w:rPr>
          <w:rFonts w:hint="eastAsia" w:ascii="黑体" w:eastAsia="黑体" w:cs="黑体"/>
          <w:kern w:val="0"/>
          <w:sz w:val="32"/>
          <w:szCs w:val="32"/>
        </w:rPr>
      </w:pPr>
      <w:r>
        <w:rPr>
          <w:rFonts w:hint="eastAsia" w:ascii="仿宋" w:hAnsi="仿宋" w:eastAsia="仿宋" w:cs="仿宋"/>
          <w:kern w:val="0"/>
          <w:sz w:val="32"/>
          <w:szCs w:val="32"/>
          <w:lang w:val="en-US" w:eastAsia="zh-CN"/>
        </w:rPr>
        <w:t>老干部局为一级预算单位，部门预算由0个二级预算单位组成。没有二级预算单位，本预算公开为汇总预算。</w:t>
      </w:r>
      <w:r>
        <w:rPr>
          <w:rFonts w:hint="eastAsia" w:ascii="黑体" w:eastAsia="黑体" w:cs="黑体"/>
          <w:kern w:val="0"/>
          <w:sz w:val="32"/>
          <w:szCs w:val="32"/>
        </w:rPr>
        <w:t xml:space="preserve">  </w:t>
      </w:r>
    </w:p>
    <w:p>
      <w:pPr>
        <w:keepNext w:val="0"/>
        <w:keepLines w:val="0"/>
        <w:pageBreakBefore w:val="0"/>
        <w:widowControl w:val="0"/>
        <w:kinsoku/>
        <w:wordWrap/>
        <w:overflowPunct/>
        <w:topLinePunct w:val="0"/>
        <w:autoSpaceDE w:val="0"/>
        <w:autoSpaceDN w:val="0"/>
        <w:bidi w:val="0"/>
        <w:adjustRightInd w:val="0"/>
        <w:snapToGrid/>
        <w:spacing w:line="600" w:lineRule="exact"/>
        <w:ind w:right="0" w:rightChars="0" w:firstLine="640"/>
        <w:jc w:val="left"/>
        <w:textAlignment w:val="auto"/>
        <w:outlineLvl w:val="9"/>
        <w:rPr>
          <w:rFonts w:hint="eastAsia" w:ascii="黑体" w:eastAsia="黑体" w:cs="黑体"/>
          <w:kern w:val="0"/>
          <w:sz w:val="32"/>
          <w:szCs w:val="32"/>
        </w:rPr>
      </w:pPr>
    </w:p>
    <w:p>
      <w:pPr>
        <w:keepNext w:val="0"/>
        <w:keepLines w:val="0"/>
        <w:pageBreakBefore w:val="0"/>
        <w:widowControl w:val="0"/>
        <w:kinsoku/>
        <w:wordWrap/>
        <w:overflowPunct/>
        <w:topLinePunct w:val="0"/>
        <w:autoSpaceDE w:val="0"/>
        <w:autoSpaceDN w:val="0"/>
        <w:bidi w:val="0"/>
        <w:adjustRightInd w:val="0"/>
        <w:snapToGrid/>
        <w:spacing w:line="600" w:lineRule="exact"/>
        <w:ind w:right="0" w:rightChars="0"/>
        <w:jc w:val="center"/>
        <w:textAlignment w:val="auto"/>
        <w:outlineLvl w:val="9"/>
        <w:rPr>
          <w:rFonts w:hint="eastAsia" w:ascii="黑体" w:hAnsi="黑体" w:eastAsia="黑体" w:cs="黑体"/>
          <w:kern w:val="0"/>
          <w:sz w:val="32"/>
          <w:szCs w:val="32"/>
        </w:rPr>
      </w:pPr>
      <w:r>
        <w:rPr>
          <w:rFonts w:hint="eastAsia" w:ascii="黑体" w:hAnsi="黑体" w:eastAsia="黑体" w:cs="黑体"/>
          <w:kern w:val="0"/>
          <w:sz w:val="32"/>
          <w:szCs w:val="32"/>
        </w:rPr>
        <w:t>第二部分</w:t>
      </w:r>
    </w:p>
    <w:p>
      <w:pPr>
        <w:keepNext w:val="0"/>
        <w:keepLines w:val="0"/>
        <w:pageBreakBefore w:val="0"/>
        <w:widowControl w:val="0"/>
        <w:kinsoku/>
        <w:wordWrap/>
        <w:overflowPunct/>
        <w:topLinePunct w:val="0"/>
        <w:autoSpaceDE w:val="0"/>
        <w:autoSpaceDN w:val="0"/>
        <w:bidi w:val="0"/>
        <w:adjustRightInd w:val="0"/>
        <w:snapToGrid/>
        <w:spacing w:line="600" w:lineRule="exact"/>
        <w:ind w:right="0" w:rightChars="0"/>
        <w:jc w:val="center"/>
        <w:textAlignment w:val="auto"/>
        <w:outlineLvl w:val="9"/>
        <w:rPr>
          <w:rFonts w:hint="eastAsia" w:ascii="黑体" w:hAnsi="黑体" w:eastAsia="黑体" w:cs="黑体"/>
          <w:kern w:val="0"/>
          <w:sz w:val="32"/>
          <w:szCs w:val="32"/>
        </w:rPr>
      </w:pPr>
      <w:r>
        <w:rPr>
          <w:rFonts w:hint="eastAsia" w:ascii="黑体" w:hAnsi="黑体" w:eastAsia="黑体" w:cs="黑体"/>
          <w:kern w:val="0"/>
          <w:sz w:val="32"/>
          <w:szCs w:val="32"/>
          <w:lang w:eastAsia="zh-CN"/>
        </w:rPr>
        <w:t>老干部局</w:t>
      </w:r>
      <w:r>
        <w:rPr>
          <w:rFonts w:hint="eastAsia" w:ascii="黑体" w:hAnsi="黑体" w:eastAsia="黑体" w:cs="黑体"/>
          <w:kern w:val="0"/>
          <w:sz w:val="32"/>
          <w:szCs w:val="32"/>
        </w:rPr>
        <w:t>2018 年部门预算情况说明</w:t>
      </w:r>
    </w:p>
    <w:p>
      <w:pPr>
        <w:keepNext w:val="0"/>
        <w:keepLines w:val="0"/>
        <w:pageBreakBefore w:val="0"/>
        <w:widowControl w:val="0"/>
        <w:kinsoku/>
        <w:wordWrap/>
        <w:overflowPunct/>
        <w:topLinePunct w:val="0"/>
        <w:autoSpaceDE w:val="0"/>
        <w:autoSpaceDN w:val="0"/>
        <w:bidi w:val="0"/>
        <w:adjustRightInd w:val="0"/>
        <w:snapToGrid/>
        <w:spacing w:line="600" w:lineRule="exact"/>
        <w:ind w:right="0" w:rightChars="0"/>
        <w:jc w:val="left"/>
        <w:textAlignment w:val="auto"/>
        <w:outlineLvl w:val="9"/>
        <w:rPr>
          <w:rFonts w:ascii="黑体" w:eastAsia="黑体" w:cs="黑体"/>
          <w:kern w:val="0"/>
          <w:sz w:val="32"/>
          <w:szCs w:val="32"/>
        </w:rPr>
      </w:pPr>
      <w:r>
        <w:rPr>
          <w:rFonts w:hint="eastAsia" w:ascii="黑体" w:eastAsia="黑体" w:cs="黑体"/>
          <w:kern w:val="0"/>
          <w:sz w:val="32"/>
          <w:szCs w:val="32"/>
        </w:rPr>
        <w:t xml:space="preserve">   </w:t>
      </w:r>
      <w:r>
        <w:rPr>
          <w:rFonts w:hint="eastAsia" w:ascii="黑体" w:eastAsia="黑体" w:cs="黑体"/>
          <w:kern w:val="0"/>
          <w:sz w:val="32"/>
          <w:szCs w:val="32"/>
          <w:lang w:val="en-US" w:eastAsia="zh-CN"/>
        </w:rPr>
        <w:t xml:space="preserve"> </w:t>
      </w:r>
      <w:r>
        <w:rPr>
          <w:rFonts w:hint="eastAsia" w:ascii="黑体" w:eastAsia="黑体" w:cs="黑体"/>
          <w:kern w:val="0"/>
          <w:sz w:val="32"/>
          <w:szCs w:val="32"/>
        </w:rPr>
        <w:t>一、收入支出预算总体情况说明</w:t>
      </w:r>
    </w:p>
    <w:p>
      <w:pPr>
        <w:keepNext w:val="0"/>
        <w:keepLines w:val="0"/>
        <w:pageBreakBefore w:val="0"/>
        <w:widowControl w:val="0"/>
        <w:kinsoku/>
        <w:wordWrap/>
        <w:overflowPunct/>
        <w:topLinePunct w:val="0"/>
        <w:autoSpaceDE w:val="0"/>
        <w:autoSpaceDN w:val="0"/>
        <w:bidi w:val="0"/>
        <w:adjustRightInd w:val="0"/>
        <w:snapToGrid/>
        <w:spacing w:line="600" w:lineRule="exact"/>
        <w:ind w:right="0" w:rightChars="0" w:firstLine="640"/>
        <w:jc w:val="both"/>
        <w:textAlignment w:val="auto"/>
        <w:outlineLvl w:val="9"/>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老干部局</w:t>
      </w:r>
      <w:r>
        <w:rPr>
          <w:rFonts w:hint="eastAsia" w:ascii="仿宋" w:hAnsi="仿宋" w:eastAsia="仿宋" w:cs="仿宋"/>
          <w:kern w:val="0"/>
          <w:sz w:val="32"/>
          <w:szCs w:val="32"/>
        </w:rPr>
        <w:t>2018年</w:t>
      </w:r>
      <w:r>
        <w:rPr>
          <w:rFonts w:hint="eastAsia" w:ascii="仿宋" w:hAnsi="仿宋" w:eastAsia="仿宋" w:cs="仿宋"/>
          <w:kern w:val="0"/>
          <w:sz w:val="32"/>
          <w:szCs w:val="32"/>
          <w:lang w:eastAsia="zh-CN"/>
        </w:rPr>
        <w:t>预算</w:t>
      </w:r>
      <w:r>
        <w:rPr>
          <w:rFonts w:hint="eastAsia" w:ascii="仿宋" w:hAnsi="仿宋" w:eastAsia="仿宋" w:cs="仿宋"/>
          <w:kern w:val="0"/>
          <w:sz w:val="32"/>
          <w:szCs w:val="32"/>
        </w:rPr>
        <w:t>收入总计</w:t>
      </w:r>
      <w:r>
        <w:rPr>
          <w:rFonts w:hint="eastAsia" w:ascii="仿宋" w:hAnsi="仿宋" w:eastAsia="仿宋" w:cs="仿宋"/>
          <w:kern w:val="0"/>
          <w:sz w:val="32"/>
          <w:szCs w:val="32"/>
          <w:lang w:val="en-US" w:eastAsia="zh-CN"/>
        </w:rPr>
        <w:t>1400.4</w:t>
      </w:r>
      <w:r>
        <w:rPr>
          <w:rFonts w:hint="eastAsia" w:ascii="仿宋" w:hAnsi="仿宋" w:eastAsia="仿宋" w:cs="仿宋"/>
          <w:kern w:val="0"/>
          <w:sz w:val="32"/>
          <w:szCs w:val="32"/>
        </w:rPr>
        <w:t>万元，</w:t>
      </w:r>
      <w:r>
        <w:rPr>
          <w:rFonts w:hint="eastAsia" w:ascii="仿宋" w:hAnsi="仿宋" w:eastAsia="仿宋" w:cs="仿宋"/>
          <w:kern w:val="0"/>
          <w:sz w:val="32"/>
          <w:szCs w:val="32"/>
          <w:lang w:eastAsia="zh-CN"/>
        </w:rPr>
        <w:t>预算</w:t>
      </w:r>
      <w:r>
        <w:rPr>
          <w:rFonts w:hint="eastAsia" w:ascii="仿宋" w:hAnsi="仿宋" w:eastAsia="仿宋" w:cs="仿宋"/>
          <w:kern w:val="0"/>
          <w:sz w:val="32"/>
          <w:szCs w:val="32"/>
        </w:rPr>
        <w:t>支出总计</w:t>
      </w:r>
      <w:r>
        <w:rPr>
          <w:rFonts w:hint="eastAsia" w:ascii="仿宋" w:hAnsi="仿宋" w:eastAsia="仿宋" w:cs="仿宋"/>
          <w:kern w:val="0"/>
          <w:sz w:val="32"/>
          <w:szCs w:val="32"/>
          <w:lang w:val="en-US" w:eastAsia="zh-CN"/>
        </w:rPr>
        <w:t>1400.4</w:t>
      </w:r>
      <w:r>
        <w:rPr>
          <w:rFonts w:hint="eastAsia" w:ascii="仿宋" w:hAnsi="仿宋" w:eastAsia="仿宋" w:cs="仿宋"/>
          <w:kern w:val="0"/>
          <w:sz w:val="32"/>
          <w:szCs w:val="32"/>
        </w:rPr>
        <w:t>万元，与2017年相比，收、支总计各减少</w:t>
      </w:r>
      <w:r>
        <w:rPr>
          <w:rFonts w:hint="eastAsia" w:ascii="仿宋" w:hAnsi="仿宋" w:eastAsia="仿宋" w:cs="仿宋"/>
          <w:kern w:val="0"/>
          <w:sz w:val="32"/>
          <w:szCs w:val="32"/>
          <w:lang w:val="en-US" w:eastAsia="zh-CN"/>
        </w:rPr>
        <w:t>104.4</w:t>
      </w:r>
      <w:r>
        <w:rPr>
          <w:rFonts w:hint="eastAsia" w:ascii="仿宋" w:hAnsi="仿宋" w:eastAsia="仿宋" w:cs="仿宋"/>
          <w:kern w:val="0"/>
          <w:sz w:val="32"/>
          <w:szCs w:val="32"/>
        </w:rPr>
        <w:t>万元，下降</w:t>
      </w:r>
      <w:r>
        <w:rPr>
          <w:rFonts w:hint="eastAsia" w:ascii="仿宋" w:hAnsi="仿宋" w:eastAsia="仿宋" w:cs="仿宋"/>
          <w:kern w:val="0"/>
          <w:sz w:val="32"/>
          <w:szCs w:val="32"/>
          <w:lang w:val="en-US" w:eastAsia="zh-CN"/>
        </w:rPr>
        <w:t>6.9%。</w:t>
      </w:r>
      <w:r>
        <w:rPr>
          <w:rFonts w:hint="eastAsia" w:ascii="仿宋" w:hAnsi="仿宋" w:eastAsia="仿宋" w:cs="仿宋"/>
          <w:kern w:val="0"/>
          <w:sz w:val="32"/>
          <w:szCs w:val="32"/>
        </w:rPr>
        <w:t>主要原因：</w:t>
      </w:r>
      <w:r>
        <w:rPr>
          <w:rFonts w:hint="eastAsia" w:ascii="仿宋" w:hAnsi="仿宋" w:eastAsia="仿宋" w:cs="仿宋"/>
          <w:kern w:val="0"/>
          <w:sz w:val="32"/>
          <w:szCs w:val="32"/>
          <w:lang w:eastAsia="zh-CN"/>
        </w:rPr>
        <w:t>离休老干部逐年减少，药费也随之减少。</w:t>
      </w:r>
    </w:p>
    <w:p>
      <w:pPr>
        <w:keepNext w:val="0"/>
        <w:keepLines w:val="0"/>
        <w:pageBreakBefore w:val="0"/>
        <w:widowControl w:val="0"/>
        <w:kinsoku/>
        <w:wordWrap/>
        <w:overflowPunct/>
        <w:topLinePunct w:val="0"/>
        <w:autoSpaceDE w:val="0"/>
        <w:autoSpaceDN w:val="0"/>
        <w:bidi w:val="0"/>
        <w:adjustRightInd w:val="0"/>
        <w:snapToGrid/>
        <w:spacing w:line="600" w:lineRule="exact"/>
        <w:ind w:right="0" w:rightChars="0" w:firstLine="640"/>
        <w:jc w:val="left"/>
        <w:textAlignment w:val="auto"/>
        <w:outlineLvl w:val="9"/>
        <w:rPr>
          <w:rFonts w:ascii="黑体" w:eastAsia="黑体" w:cs="黑体"/>
          <w:kern w:val="0"/>
          <w:sz w:val="32"/>
          <w:szCs w:val="32"/>
        </w:rPr>
      </w:pPr>
      <w:r>
        <w:rPr>
          <w:rFonts w:hint="eastAsia" w:ascii="黑体" w:eastAsia="黑体" w:cs="黑体"/>
          <w:kern w:val="0"/>
          <w:sz w:val="32"/>
          <w:szCs w:val="32"/>
        </w:rPr>
        <w:t>二、收入预算总体情况说明</w:t>
      </w:r>
    </w:p>
    <w:p>
      <w:pPr>
        <w:keepNext w:val="0"/>
        <w:keepLines w:val="0"/>
        <w:pageBreakBefore w:val="0"/>
        <w:widowControl w:val="0"/>
        <w:kinsoku/>
        <w:wordWrap/>
        <w:overflowPunct/>
        <w:topLinePunct w:val="0"/>
        <w:autoSpaceDE w:val="0"/>
        <w:autoSpaceDN w:val="0"/>
        <w:bidi w:val="0"/>
        <w:adjustRightInd w:val="0"/>
        <w:snapToGrid/>
        <w:spacing w:line="600" w:lineRule="exact"/>
        <w:ind w:right="0" w:rightChars="0"/>
        <w:jc w:val="left"/>
        <w:textAlignment w:val="auto"/>
        <w:outlineLvl w:val="9"/>
        <w:rPr>
          <w:rFonts w:cs="仿宋" w:asciiTheme="minorEastAsia" w:hAnsiTheme="minorEastAsia" w:eastAsiaTheme="minorEastAsia"/>
          <w:kern w:val="0"/>
          <w:sz w:val="32"/>
          <w:szCs w:val="32"/>
        </w:rPr>
      </w:pPr>
      <w:r>
        <w:rPr>
          <w:rFonts w:hint="eastAsia" w:ascii="仿宋" w:eastAsia="仿宋" w:cs="仿宋"/>
          <w:kern w:val="0"/>
          <w:sz w:val="32"/>
          <w:szCs w:val="32"/>
        </w:rPr>
        <w:t xml:space="preserve">   </w:t>
      </w:r>
      <w:r>
        <w:rPr>
          <w:rFonts w:hint="eastAsia" w:cs="仿宋" w:asciiTheme="minorEastAsia" w:hAnsiTheme="minorEastAsia" w:eastAsiaTheme="minorEastAsia"/>
          <w:kern w:val="0"/>
          <w:sz w:val="32"/>
          <w:szCs w:val="32"/>
        </w:rPr>
        <w:t xml:space="preserve"> </w:t>
      </w:r>
      <w:r>
        <w:rPr>
          <w:rFonts w:hint="eastAsia" w:ascii="仿宋" w:hAnsi="仿宋" w:eastAsia="仿宋" w:cs="仿宋"/>
          <w:kern w:val="0"/>
          <w:sz w:val="32"/>
          <w:szCs w:val="32"/>
          <w:lang w:eastAsia="zh-CN"/>
        </w:rPr>
        <w:t>老干部局</w:t>
      </w:r>
      <w:r>
        <w:rPr>
          <w:rFonts w:hint="eastAsia" w:ascii="仿宋" w:hAnsi="仿宋" w:eastAsia="仿宋" w:cs="仿宋"/>
          <w:kern w:val="0"/>
          <w:sz w:val="32"/>
          <w:szCs w:val="32"/>
        </w:rPr>
        <w:t>2018年</w:t>
      </w:r>
      <w:r>
        <w:rPr>
          <w:rFonts w:hint="eastAsia" w:ascii="仿宋" w:hAnsi="仿宋" w:eastAsia="仿宋" w:cs="仿宋"/>
          <w:kern w:val="0"/>
          <w:sz w:val="32"/>
          <w:szCs w:val="32"/>
          <w:lang w:eastAsia="zh-CN"/>
        </w:rPr>
        <w:t>预算</w:t>
      </w:r>
      <w:r>
        <w:rPr>
          <w:rFonts w:hint="eastAsia" w:ascii="仿宋" w:hAnsi="仿宋" w:eastAsia="仿宋" w:cs="仿宋"/>
          <w:kern w:val="0"/>
          <w:sz w:val="32"/>
          <w:szCs w:val="32"/>
        </w:rPr>
        <w:t>收入合计</w:t>
      </w:r>
      <w:r>
        <w:rPr>
          <w:rFonts w:hint="eastAsia" w:ascii="仿宋" w:hAnsi="仿宋" w:eastAsia="仿宋" w:cs="仿宋"/>
          <w:kern w:val="0"/>
          <w:sz w:val="32"/>
          <w:szCs w:val="32"/>
          <w:lang w:val="en-US" w:eastAsia="zh-CN"/>
        </w:rPr>
        <w:t>1400.4</w:t>
      </w:r>
      <w:r>
        <w:rPr>
          <w:rFonts w:hint="eastAsia" w:ascii="仿宋" w:hAnsi="仿宋" w:eastAsia="仿宋" w:cs="仿宋"/>
          <w:kern w:val="0"/>
          <w:sz w:val="32"/>
          <w:szCs w:val="32"/>
        </w:rPr>
        <w:t>万元，其中：一般公共预算收</w:t>
      </w:r>
      <w:r>
        <w:rPr>
          <w:rFonts w:hint="eastAsia" w:ascii="仿宋" w:hAnsi="仿宋" w:eastAsia="仿宋" w:cs="仿宋"/>
          <w:kern w:val="0"/>
          <w:sz w:val="32"/>
          <w:szCs w:val="32"/>
          <w:lang w:eastAsia="zh-CN"/>
        </w:rPr>
        <w:t>入</w:t>
      </w:r>
      <w:r>
        <w:rPr>
          <w:rFonts w:hint="eastAsia" w:ascii="仿宋" w:hAnsi="仿宋" w:eastAsia="仿宋" w:cs="仿宋"/>
          <w:kern w:val="0"/>
          <w:sz w:val="32"/>
          <w:szCs w:val="32"/>
        </w:rPr>
        <w:t>（含上级</w:t>
      </w:r>
      <w:r>
        <w:rPr>
          <w:rFonts w:hint="eastAsia" w:ascii="仿宋" w:hAnsi="仿宋" w:eastAsia="仿宋" w:cs="仿宋"/>
          <w:kern w:val="0"/>
          <w:sz w:val="32"/>
          <w:szCs w:val="32"/>
          <w:lang w:eastAsia="zh-CN"/>
        </w:rPr>
        <w:t>追加转移支付）</w:t>
      </w:r>
      <w:r>
        <w:rPr>
          <w:rFonts w:hint="eastAsia" w:ascii="仿宋" w:hAnsi="仿宋" w:eastAsia="仿宋" w:cs="仿宋"/>
          <w:kern w:val="0"/>
          <w:sz w:val="32"/>
          <w:szCs w:val="32"/>
          <w:lang w:val="en-US" w:eastAsia="zh-CN"/>
        </w:rPr>
        <w:t xml:space="preserve">1400.4 </w:t>
      </w:r>
      <w:r>
        <w:rPr>
          <w:rFonts w:hint="eastAsia" w:ascii="仿宋" w:hAnsi="仿宋" w:eastAsia="仿宋" w:cs="仿宋"/>
          <w:kern w:val="0"/>
          <w:sz w:val="32"/>
          <w:szCs w:val="32"/>
        </w:rPr>
        <w:t>万元；政府性基金预算收入（含上级</w:t>
      </w:r>
      <w:r>
        <w:rPr>
          <w:rFonts w:hint="eastAsia" w:ascii="仿宋" w:hAnsi="仿宋" w:eastAsia="仿宋" w:cs="仿宋"/>
          <w:kern w:val="0"/>
          <w:sz w:val="32"/>
          <w:szCs w:val="32"/>
          <w:lang w:eastAsia="zh-CN"/>
        </w:rPr>
        <w:t>追加转移支付</w:t>
      </w:r>
      <w:r>
        <w:rPr>
          <w:rFonts w:hint="eastAsia" w:ascii="仿宋" w:hAnsi="仿宋" w:eastAsia="仿宋" w:cs="仿宋"/>
          <w:kern w:val="0"/>
          <w:sz w:val="32"/>
          <w:szCs w:val="32"/>
        </w:rPr>
        <w:t>）</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万元；其他收入</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万元。</w:t>
      </w:r>
    </w:p>
    <w:p>
      <w:pPr>
        <w:keepNext w:val="0"/>
        <w:keepLines w:val="0"/>
        <w:pageBreakBefore w:val="0"/>
        <w:widowControl w:val="0"/>
        <w:kinsoku/>
        <w:wordWrap/>
        <w:overflowPunct/>
        <w:topLinePunct w:val="0"/>
        <w:autoSpaceDE w:val="0"/>
        <w:autoSpaceDN w:val="0"/>
        <w:bidi w:val="0"/>
        <w:adjustRightInd w:val="0"/>
        <w:snapToGrid/>
        <w:spacing w:line="600" w:lineRule="exact"/>
        <w:ind w:right="0" w:rightChars="0"/>
        <w:jc w:val="left"/>
        <w:textAlignment w:val="auto"/>
        <w:outlineLvl w:val="9"/>
        <w:rPr>
          <w:rFonts w:ascii="黑体" w:eastAsia="黑体" w:cs="黑体"/>
          <w:kern w:val="0"/>
          <w:sz w:val="32"/>
          <w:szCs w:val="32"/>
        </w:rPr>
      </w:pPr>
      <w:r>
        <w:rPr>
          <w:rFonts w:hint="eastAsia" w:ascii="黑体" w:eastAsia="黑体" w:cs="黑体"/>
          <w:kern w:val="0"/>
          <w:sz w:val="32"/>
          <w:szCs w:val="32"/>
        </w:rPr>
        <w:t xml:space="preserve">    三、支出预算总体情况说明</w:t>
      </w:r>
    </w:p>
    <w:p>
      <w:pPr>
        <w:keepNext w:val="0"/>
        <w:keepLines w:val="0"/>
        <w:pageBreakBefore w:val="0"/>
        <w:widowControl w:val="0"/>
        <w:kinsoku/>
        <w:wordWrap/>
        <w:overflowPunct/>
        <w:topLinePunct w:val="0"/>
        <w:autoSpaceDE w:val="0"/>
        <w:autoSpaceDN w:val="0"/>
        <w:bidi w:val="0"/>
        <w:adjustRightInd w:val="0"/>
        <w:snapToGrid/>
        <w:spacing w:line="600" w:lineRule="exact"/>
        <w:ind w:left="320" w:right="0" w:rightChars="0" w:hanging="320" w:hangingChars="100"/>
        <w:jc w:val="left"/>
        <w:textAlignment w:val="auto"/>
        <w:outlineLvl w:val="9"/>
        <w:rPr>
          <w:rFonts w:cs="仿宋" w:asciiTheme="minorEastAsia" w:hAnsiTheme="minorEastAsia" w:eastAsiaTheme="minorEastAsia"/>
          <w:kern w:val="0"/>
          <w:sz w:val="32"/>
          <w:szCs w:val="32"/>
        </w:rPr>
      </w:pPr>
      <w:r>
        <w:rPr>
          <w:rFonts w:hint="eastAsia" w:ascii="仿宋" w:eastAsia="仿宋" w:cs="仿宋"/>
          <w:kern w:val="0"/>
          <w:sz w:val="32"/>
          <w:szCs w:val="32"/>
        </w:rPr>
        <w:t xml:space="preserve"> </w:t>
      </w:r>
      <w:r>
        <w:rPr>
          <w:rFonts w:hint="eastAsia" w:cs="仿宋" w:asciiTheme="minorEastAsia" w:hAnsiTheme="minorEastAsia" w:eastAsiaTheme="minorEastAsia"/>
          <w:kern w:val="0"/>
          <w:sz w:val="32"/>
          <w:szCs w:val="32"/>
        </w:rPr>
        <w:t xml:space="preserve">   </w:t>
      </w:r>
      <w:r>
        <w:rPr>
          <w:rFonts w:hint="eastAsia" w:ascii="仿宋" w:hAnsi="仿宋" w:eastAsia="仿宋" w:cs="仿宋"/>
          <w:kern w:val="0"/>
          <w:sz w:val="32"/>
          <w:szCs w:val="32"/>
          <w:lang w:eastAsia="zh-CN"/>
        </w:rPr>
        <w:t>老干部局</w:t>
      </w:r>
      <w:r>
        <w:rPr>
          <w:rFonts w:hint="eastAsia" w:ascii="仿宋" w:hAnsi="仿宋" w:eastAsia="仿宋" w:cs="仿宋"/>
          <w:kern w:val="0"/>
          <w:sz w:val="32"/>
          <w:szCs w:val="32"/>
        </w:rPr>
        <w:t>2018年</w:t>
      </w:r>
      <w:r>
        <w:rPr>
          <w:rFonts w:hint="eastAsia" w:ascii="仿宋" w:hAnsi="仿宋" w:eastAsia="仿宋" w:cs="仿宋"/>
          <w:kern w:val="0"/>
          <w:sz w:val="32"/>
          <w:szCs w:val="32"/>
          <w:lang w:eastAsia="zh-CN"/>
        </w:rPr>
        <w:t>预算</w:t>
      </w:r>
      <w:r>
        <w:rPr>
          <w:rFonts w:hint="eastAsia" w:ascii="仿宋" w:hAnsi="仿宋" w:eastAsia="仿宋" w:cs="仿宋"/>
          <w:kern w:val="0"/>
          <w:sz w:val="32"/>
          <w:szCs w:val="32"/>
        </w:rPr>
        <w:t>支出合计</w:t>
      </w:r>
      <w:r>
        <w:rPr>
          <w:rFonts w:hint="eastAsia" w:ascii="仿宋" w:hAnsi="仿宋" w:eastAsia="仿宋" w:cs="仿宋"/>
          <w:kern w:val="0"/>
          <w:sz w:val="32"/>
          <w:szCs w:val="32"/>
          <w:lang w:val="en-US" w:eastAsia="zh-CN"/>
        </w:rPr>
        <w:t xml:space="preserve"> 1400.4</w:t>
      </w:r>
      <w:r>
        <w:rPr>
          <w:rFonts w:hint="eastAsia" w:ascii="仿宋" w:hAnsi="仿宋" w:eastAsia="仿宋" w:cs="仿宋"/>
          <w:kern w:val="0"/>
          <w:sz w:val="32"/>
          <w:szCs w:val="32"/>
        </w:rPr>
        <w:t>万元，其中：基本支出</w:t>
      </w:r>
      <w:r>
        <w:rPr>
          <w:rFonts w:hint="eastAsia" w:ascii="仿宋" w:hAnsi="仿宋" w:eastAsia="仿宋" w:cs="仿宋"/>
          <w:kern w:val="0"/>
          <w:sz w:val="32"/>
          <w:szCs w:val="32"/>
          <w:lang w:val="en-US" w:eastAsia="zh-CN"/>
        </w:rPr>
        <w:t>124.1</w:t>
      </w:r>
      <w:r>
        <w:rPr>
          <w:rFonts w:hint="eastAsia" w:ascii="仿宋" w:hAnsi="仿宋" w:eastAsia="仿宋" w:cs="仿宋"/>
          <w:kern w:val="0"/>
          <w:sz w:val="32"/>
          <w:szCs w:val="32"/>
        </w:rPr>
        <w:t>万元，占</w:t>
      </w:r>
      <w:r>
        <w:rPr>
          <w:rFonts w:hint="eastAsia" w:ascii="仿宋" w:hAnsi="仿宋" w:eastAsia="仿宋" w:cs="仿宋"/>
          <w:kern w:val="0"/>
          <w:sz w:val="32"/>
          <w:szCs w:val="32"/>
          <w:lang w:val="en-US" w:eastAsia="zh-CN"/>
        </w:rPr>
        <w:t>8.9</w:t>
      </w:r>
      <w:r>
        <w:rPr>
          <w:rFonts w:hint="eastAsia" w:ascii="仿宋" w:hAnsi="仿宋" w:eastAsia="仿宋" w:cs="仿宋"/>
          <w:kern w:val="0"/>
          <w:sz w:val="32"/>
          <w:szCs w:val="32"/>
        </w:rPr>
        <w:t>%；项目支出</w:t>
      </w:r>
      <w:r>
        <w:rPr>
          <w:rFonts w:hint="eastAsia" w:ascii="仿宋" w:hAnsi="仿宋" w:eastAsia="仿宋" w:cs="仿宋"/>
          <w:kern w:val="0"/>
          <w:sz w:val="32"/>
          <w:szCs w:val="32"/>
          <w:lang w:val="en-US" w:eastAsia="zh-CN"/>
        </w:rPr>
        <w:t>1276.3</w:t>
      </w:r>
      <w:r>
        <w:rPr>
          <w:rFonts w:hint="eastAsia" w:ascii="仿宋" w:hAnsi="仿宋" w:eastAsia="仿宋" w:cs="仿宋"/>
          <w:kern w:val="0"/>
          <w:sz w:val="32"/>
          <w:szCs w:val="32"/>
        </w:rPr>
        <w:t>万元，占</w:t>
      </w:r>
      <w:r>
        <w:rPr>
          <w:rFonts w:hint="eastAsia" w:ascii="仿宋" w:hAnsi="仿宋" w:eastAsia="仿宋" w:cs="仿宋"/>
          <w:kern w:val="0"/>
          <w:sz w:val="32"/>
          <w:szCs w:val="32"/>
          <w:lang w:val="en-US" w:eastAsia="zh-CN"/>
        </w:rPr>
        <w:t>91.1</w:t>
      </w:r>
      <w:r>
        <w:rPr>
          <w:rFonts w:hint="eastAsia" w:ascii="仿宋" w:hAnsi="仿宋" w:eastAsia="仿宋" w:cs="仿宋"/>
          <w:kern w:val="0"/>
          <w:sz w:val="32"/>
          <w:szCs w:val="32"/>
        </w:rPr>
        <w:t>%。</w:t>
      </w:r>
    </w:p>
    <w:p>
      <w:pPr>
        <w:keepNext w:val="0"/>
        <w:keepLines w:val="0"/>
        <w:pageBreakBefore w:val="0"/>
        <w:widowControl w:val="0"/>
        <w:kinsoku/>
        <w:wordWrap/>
        <w:overflowPunct/>
        <w:topLinePunct w:val="0"/>
        <w:autoSpaceDE w:val="0"/>
        <w:autoSpaceDN w:val="0"/>
        <w:bidi w:val="0"/>
        <w:adjustRightInd w:val="0"/>
        <w:snapToGrid/>
        <w:spacing w:line="600" w:lineRule="exact"/>
        <w:ind w:right="0" w:rightChars="0"/>
        <w:jc w:val="left"/>
        <w:textAlignment w:val="auto"/>
        <w:outlineLvl w:val="9"/>
        <w:rPr>
          <w:rFonts w:cs="黑体" w:asciiTheme="minorEastAsia" w:hAnsiTheme="minorEastAsia" w:eastAsiaTheme="minorEastAsia"/>
          <w:b/>
          <w:kern w:val="0"/>
          <w:sz w:val="32"/>
          <w:szCs w:val="32"/>
        </w:rPr>
      </w:pPr>
      <w:r>
        <w:rPr>
          <w:rFonts w:hint="eastAsia" w:cs="黑体" w:asciiTheme="minorEastAsia" w:hAnsiTheme="minorEastAsia" w:eastAsiaTheme="minorEastAsia"/>
          <w:kern w:val="0"/>
          <w:sz w:val="32"/>
          <w:szCs w:val="32"/>
        </w:rPr>
        <w:t xml:space="preserve">    </w:t>
      </w:r>
      <w:r>
        <w:rPr>
          <w:rFonts w:hint="eastAsia" w:cs="黑体" w:asciiTheme="minorEastAsia" w:hAnsiTheme="minorEastAsia" w:eastAsiaTheme="minorEastAsia"/>
          <w:b/>
          <w:kern w:val="0"/>
          <w:sz w:val="32"/>
          <w:szCs w:val="32"/>
        </w:rPr>
        <w:t>四、财政拨款收入支出预算总体情况说明</w:t>
      </w:r>
    </w:p>
    <w:p>
      <w:pPr>
        <w:keepNext w:val="0"/>
        <w:keepLines w:val="0"/>
        <w:pageBreakBefore w:val="0"/>
        <w:widowControl w:val="0"/>
        <w:kinsoku/>
        <w:wordWrap/>
        <w:overflowPunct/>
        <w:topLinePunct w:val="0"/>
        <w:autoSpaceDE w:val="0"/>
        <w:autoSpaceDN w:val="0"/>
        <w:bidi w:val="0"/>
        <w:adjustRightInd w:val="0"/>
        <w:snapToGrid/>
        <w:spacing w:line="600" w:lineRule="exact"/>
        <w:ind w:right="0" w:rightChars="0" w:firstLine="640" w:firstLineChars="200"/>
        <w:jc w:val="left"/>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lang w:eastAsia="zh-CN"/>
        </w:rPr>
        <w:t>老干部局</w:t>
      </w:r>
      <w:r>
        <w:rPr>
          <w:rFonts w:hint="eastAsia" w:ascii="仿宋" w:hAnsi="仿宋" w:eastAsia="仿宋" w:cs="仿宋"/>
          <w:kern w:val="0"/>
          <w:sz w:val="32"/>
          <w:szCs w:val="32"/>
        </w:rPr>
        <w:t>2018年一般公共预算收支预算</w:t>
      </w:r>
      <w:r>
        <w:rPr>
          <w:rFonts w:hint="eastAsia" w:ascii="仿宋" w:hAnsi="仿宋" w:eastAsia="仿宋" w:cs="仿宋"/>
          <w:kern w:val="0"/>
          <w:sz w:val="32"/>
          <w:szCs w:val="32"/>
          <w:lang w:val="en-US" w:eastAsia="zh-CN"/>
        </w:rPr>
        <w:t>1400.1</w:t>
      </w:r>
      <w:r>
        <w:rPr>
          <w:rFonts w:hint="eastAsia" w:ascii="仿宋" w:hAnsi="仿宋" w:eastAsia="仿宋" w:cs="仿宋"/>
          <w:kern w:val="0"/>
          <w:sz w:val="32"/>
          <w:szCs w:val="32"/>
        </w:rPr>
        <w:t>万元，政府性基金收支预算</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万元。与2017 年相比，一般公共预算收支预算减少</w:t>
      </w:r>
      <w:r>
        <w:rPr>
          <w:rFonts w:hint="eastAsia" w:ascii="仿宋" w:hAnsi="仿宋" w:eastAsia="仿宋" w:cs="仿宋"/>
          <w:kern w:val="0"/>
          <w:sz w:val="32"/>
          <w:szCs w:val="32"/>
          <w:lang w:val="en-US" w:eastAsia="zh-CN"/>
        </w:rPr>
        <w:t>104.7</w:t>
      </w:r>
      <w:r>
        <w:rPr>
          <w:rFonts w:hint="eastAsia" w:ascii="仿宋" w:hAnsi="仿宋" w:eastAsia="仿宋" w:cs="仿宋"/>
          <w:kern w:val="0"/>
          <w:sz w:val="32"/>
          <w:szCs w:val="32"/>
        </w:rPr>
        <w:t>万元，下降</w:t>
      </w:r>
      <w:r>
        <w:rPr>
          <w:rFonts w:hint="eastAsia" w:ascii="仿宋" w:hAnsi="仿宋" w:eastAsia="仿宋" w:cs="仿宋"/>
          <w:kern w:val="0"/>
          <w:sz w:val="32"/>
          <w:szCs w:val="32"/>
          <w:lang w:val="en-US" w:eastAsia="zh-CN"/>
        </w:rPr>
        <w:t>6.95</w:t>
      </w:r>
      <w:r>
        <w:rPr>
          <w:rFonts w:hint="eastAsia" w:ascii="仿宋" w:hAnsi="仿宋" w:eastAsia="仿宋" w:cs="仿宋"/>
          <w:kern w:val="0"/>
          <w:sz w:val="32"/>
          <w:szCs w:val="32"/>
        </w:rPr>
        <w:t>%，主要原因：</w:t>
      </w:r>
      <w:r>
        <w:rPr>
          <w:rFonts w:hint="eastAsia" w:ascii="仿宋" w:hAnsi="仿宋" w:eastAsia="仿宋" w:cs="仿宋"/>
          <w:kern w:val="0"/>
          <w:sz w:val="32"/>
          <w:szCs w:val="32"/>
          <w:lang w:eastAsia="zh-CN"/>
        </w:rPr>
        <w:t>离休干部管理办公室加强了药费管理和审核，另离休老干部逐年减少，药费也随之减少。</w:t>
      </w:r>
    </w:p>
    <w:p>
      <w:pPr>
        <w:keepNext w:val="0"/>
        <w:keepLines w:val="0"/>
        <w:pageBreakBefore w:val="0"/>
        <w:widowControl w:val="0"/>
        <w:kinsoku/>
        <w:wordWrap/>
        <w:overflowPunct/>
        <w:topLinePunct w:val="0"/>
        <w:autoSpaceDE w:val="0"/>
        <w:autoSpaceDN w:val="0"/>
        <w:bidi w:val="0"/>
        <w:adjustRightInd w:val="0"/>
        <w:snapToGrid/>
        <w:spacing w:line="600" w:lineRule="exact"/>
        <w:ind w:right="0" w:rightChars="0"/>
        <w:jc w:val="left"/>
        <w:textAlignment w:val="auto"/>
        <w:outlineLvl w:val="9"/>
        <w:rPr>
          <w:rFonts w:ascii="黑体" w:eastAsia="黑体" w:cs="黑体"/>
          <w:kern w:val="0"/>
          <w:sz w:val="32"/>
          <w:szCs w:val="32"/>
        </w:rPr>
      </w:pPr>
      <w:r>
        <w:rPr>
          <w:rFonts w:hint="eastAsia" w:ascii="黑体" w:eastAsia="黑体" w:cs="黑体"/>
          <w:kern w:val="0"/>
          <w:sz w:val="32"/>
          <w:szCs w:val="32"/>
        </w:rPr>
        <w:t xml:space="preserve">    五、一般公共预算支出预算情况说明</w:t>
      </w:r>
    </w:p>
    <w:p>
      <w:pPr>
        <w:keepNext w:val="0"/>
        <w:keepLines w:val="0"/>
        <w:pageBreakBefore w:val="0"/>
        <w:widowControl w:val="0"/>
        <w:kinsoku/>
        <w:wordWrap/>
        <w:overflowPunct/>
        <w:topLinePunct w:val="0"/>
        <w:autoSpaceDE w:val="0"/>
        <w:autoSpaceDN w:val="0"/>
        <w:bidi w:val="0"/>
        <w:adjustRightInd w:val="0"/>
        <w:snapToGrid/>
        <w:spacing w:line="600" w:lineRule="exact"/>
        <w:ind w:right="0" w:rightChars="0"/>
        <w:jc w:val="left"/>
        <w:textAlignment w:val="auto"/>
        <w:outlineLvl w:val="9"/>
        <w:rPr>
          <w:rFonts w:hint="eastAsia" w:ascii="仿宋" w:hAnsi="仿宋" w:eastAsia="仿宋" w:cs="仿宋"/>
          <w:kern w:val="0"/>
          <w:sz w:val="32"/>
          <w:szCs w:val="32"/>
        </w:rPr>
      </w:pPr>
      <w:r>
        <w:rPr>
          <w:rFonts w:hint="eastAsia" w:cs="仿宋" w:asciiTheme="minorEastAsia" w:hAnsiTheme="minorEastAsia" w:eastAsiaTheme="minorEastAsia"/>
          <w:kern w:val="0"/>
          <w:sz w:val="32"/>
          <w:szCs w:val="32"/>
        </w:rPr>
        <w:t xml:space="preserve">    </w:t>
      </w:r>
      <w:r>
        <w:rPr>
          <w:rFonts w:hint="eastAsia" w:ascii="仿宋" w:hAnsi="仿宋" w:eastAsia="仿宋" w:cs="仿宋"/>
          <w:kern w:val="0"/>
          <w:sz w:val="32"/>
          <w:szCs w:val="32"/>
          <w:lang w:eastAsia="zh-CN"/>
        </w:rPr>
        <w:t>老干部局</w:t>
      </w:r>
      <w:r>
        <w:rPr>
          <w:rFonts w:hint="eastAsia" w:ascii="仿宋" w:hAnsi="仿宋" w:eastAsia="仿宋" w:cs="仿宋"/>
          <w:kern w:val="0"/>
          <w:sz w:val="32"/>
          <w:szCs w:val="32"/>
        </w:rPr>
        <w:t>2018年一般公共预算支出年初预算</w:t>
      </w:r>
      <w:r>
        <w:rPr>
          <w:rFonts w:hint="eastAsia" w:ascii="仿宋" w:hAnsi="仿宋" w:eastAsia="仿宋" w:cs="仿宋"/>
          <w:kern w:val="0"/>
          <w:sz w:val="32"/>
          <w:szCs w:val="32"/>
          <w:lang w:val="en-US" w:eastAsia="zh-CN"/>
        </w:rPr>
        <w:t>1400.4</w:t>
      </w:r>
      <w:r>
        <w:rPr>
          <w:rFonts w:hint="eastAsia" w:ascii="仿宋" w:hAnsi="仿宋" w:eastAsia="仿宋" w:cs="仿宋"/>
          <w:kern w:val="0"/>
          <w:sz w:val="32"/>
          <w:szCs w:val="32"/>
        </w:rPr>
        <w:t>万元（含上级</w:t>
      </w:r>
      <w:r>
        <w:rPr>
          <w:rFonts w:hint="eastAsia" w:ascii="仿宋" w:hAnsi="仿宋" w:eastAsia="仿宋" w:cs="仿宋"/>
          <w:kern w:val="0"/>
          <w:sz w:val="32"/>
          <w:szCs w:val="32"/>
          <w:lang w:eastAsia="zh-CN"/>
        </w:rPr>
        <w:t>转移支付</w:t>
      </w:r>
      <w:r>
        <w:rPr>
          <w:rFonts w:hint="eastAsia" w:ascii="仿宋" w:hAnsi="仿宋" w:eastAsia="仿宋" w:cs="仿宋"/>
          <w:kern w:val="0"/>
          <w:sz w:val="32"/>
          <w:szCs w:val="32"/>
        </w:rPr>
        <w:t>（一般公共预算）</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万元）。主要用于以下方面：社会保障和就业（类）支出</w:t>
      </w:r>
      <w:r>
        <w:rPr>
          <w:rFonts w:hint="eastAsia" w:ascii="仿宋" w:hAnsi="仿宋" w:eastAsia="仿宋" w:cs="仿宋"/>
          <w:kern w:val="0"/>
          <w:sz w:val="32"/>
          <w:szCs w:val="32"/>
          <w:lang w:val="en-US" w:eastAsia="zh-CN"/>
        </w:rPr>
        <w:t xml:space="preserve"> 1400.4</w:t>
      </w:r>
      <w:r>
        <w:rPr>
          <w:rFonts w:hint="eastAsia" w:ascii="仿宋" w:hAnsi="仿宋" w:eastAsia="仿宋" w:cs="仿宋"/>
          <w:kern w:val="0"/>
          <w:sz w:val="32"/>
          <w:szCs w:val="32"/>
        </w:rPr>
        <w:t>万元，占</w:t>
      </w:r>
      <w:r>
        <w:rPr>
          <w:rFonts w:hint="eastAsia" w:ascii="仿宋" w:hAnsi="仿宋" w:eastAsia="仿宋" w:cs="仿宋"/>
          <w:kern w:val="0"/>
          <w:sz w:val="32"/>
          <w:szCs w:val="32"/>
          <w:lang w:val="en-US" w:eastAsia="zh-CN"/>
        </w:rPr>
        <w:t>100</w:t>
      </w:r>
      <w:r>
        <w:rPr>
          <w:rFonts w:hint="eastAsia" w:ascii="仿宋" w:hAnsi="仿宋" w:eastAsia="仿宋" w:cs="仿宋"/>
          <w:kern w:val="0"/>
          <w:sz w:val="32"/>
          <w:szCs w:val="32"/>
        </w:rPr>
        <w:t>%；农林水（类）支出</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万元，占</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%；住房保障（类）支出</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万元，占</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w:t>
      </w:r>
    </w:p>
    <w:p>
      <w:pPr>
        <w:keepNext w:val="0"/>
        <w:keepLines w:val="0"/>
        <w:pageBreakBefore w:val="0"/>
        <w:widowControl w:val="0"/>
        <w:kinsoku/>
        <w:wordWrap/>
        <w:overflowPunct/>
        <w:topLinePunct w:val="0"/>
        <w:autoSpaceDE w:val="0"/>
        <w:autoSpaceDN w:val="0"/>
        <w:bidi w:val="0"/>
        <w:adjustRightInd w:val="0"/>
        <w:snapToGrid/>
        <w:spacing w:line="600" w:lineRule="exact"/>
        <w:ind w:right="0" w:rightChars="0"/>
        <w:jc w:val="left"/>
        <w:textAlignment w:val="auto"/>
        <w:outlineLvl w:val="9"/>
        <w:rPr>
          <w:rFonts w:ascii="黑体" w:eastAsia="黑体" w:cs="黑体"/>
          <w:kern w:val="0"/>
          <w:sz w:val="32"/>
          <w:szCs w:val="32"/>
        </w:rPr>
      </w:pPr>
      <w:r>
        <w:rPr>
          <w:rFonts w:hint="eastAsia" w:ascii="黑体" w:eastAsia="黑体" w:cs="黑体"/>
          <w:kern w:val="0"/>
          <w:sz w:val="32"/>
          <w:szCs w:val="32"/>
        </w:rPr>
        <w:t xml:space="preserve">    六、支出预算经济分类情况说明</w:t>
      </w:r>
    </w:p>
    <w:p>
      <w:pPr>
        <w:keepNext w:val="0"/>
        <w:keepLines w:val="0"/>
        <w:pageBreakBefore w:val="0"/>
        <w:widowControl w:val="0"/>
        <w:kinsoku/>
        <w:wordWrap/>
        <w:overflowPunct/>
        <w:topLinePunct w:val="0"/>
        <w:autoSpaceDE w:val="0"/>
        <w:autoSpaceDN w:val="0"/>
        <w:bidi w:val="0"/>
        <w:adjustRightInd w:val="0"/>
        <w:snapToGrid/>
        <w:spacing w:line="600" w:lineRule="exact"/>
        <w:ind w:left="320" w:right="0" w:rightChars="0" w:hanging="320" w:hangingChars="100"/>
        <w:jc w:val="left"/>
        <w:textAlignment w:val="auto"/>
        <w:outlineLvl w:val="9"/>
        <w:rPr>
          <w:rFonts w:hint="eastAsia" w:cs="仿宋" w:asciiTheme="minorEastAsia" w:hAnsiTheme="minorEastAsia" w:eastAsiaTheme="minorEastAsia"/>
          <w:kern w:val="0"/>
          <w:sz w:val="32"/>
          <w:szCs w:val="32"/>
        </w:rPr>
      </w:pPr>
      <w:r>
        <w:rPr>
          <w:rFonts w:hint="eastAsia" w:ascii="仿宋" w:eastAsia="仿宋" w:cs="仿宋"/>
          <w:kern w:val="0"/>
          <w:sz w:val="32"/>
          <w:szCs w:val="32"/>
        </w:rPr>
        <w:t xml:space="preserve">    </w:t>
      </w:r>
      <w:r>
        <w:rPr>
          <w:rFonts w:hint="eastAsia" w:ascii="仿宋" w:eastAsia="仿宋" w:cs="仿宋"/>
          <w:kern w:val="0"/>
          <w:sz w:val="32"/>
          <w:szCs w:val="32"/>
          <w:lang w:val="en-US" w:eastAsia="zh-CN"/>
        </w:rPr>
        <w:t xml:space="preserve"> </w:t>
      </w:r>
      <w:r>
        <w:rPr>
          <w:rFonts w:hint="eastAsia" w:ascii="仿宋" w:hAnsi="仿宋" w:eastAsia="仿宋" w:cs="仿宋"/>
          <w:kern w:val="0"/>
          <w:sz w:val="32"/>
          <w:szCs w:val="32"/>
          <w:lang w:eastAsia="zh-CN"/>
        </w:rPr>
        <w:t>老干部局</w:t>
      </w:r>
      <w:r>
        <w:rPr>
          <w:rFonts w:hint="eastAsia" w:ascii="仿宋" w:hAnsi="仿宋" w:eastAsia="仿宋" w:cs="仿宋"/>
          <w:kern w:val="0"/>
          <w:sz w:val="32"/>
          <w:szCs w:val="32"/>
        </w:rPr>
        <w:t>2018年预算支出</w:t>
      </w:r>
      <w:r>
        <w:rPr>
          <w:rFonts w:hint="eastAsia" w:ascii="仿宋" w:hAnsi="仿宋" w:eastAsia="仿宋" w:cs="仿宋"/>
          <w:kern w:val="0"/>
          <w:sz w:val="32"/>
          <w:szCs w:val="32"/>
          <w:lang w:val="en-US" w:eastAsia="zh-CN"/>
        </w:rPr>
        <w:t>1400.4</w:t>
      </w:r>
      <w:r>
        <w:rPr>
          <w:rFonts w:hint="eastAsia" w:ascii="仿宋" w:hAnsi="仿宋" w:eastAsia="仿宋" w:cs="仿宋"/>
          <w:kern w:val="0"/>
          <w:sz w:val="32"/>
          <w:szCs w:val="32"/>
        </w:rPr>
        <w:t>万元，其中：人员经费</w:t>
      </w:r>
      <w:r>
        <w:rPr>
          <w:rFonts w:hint="eastAsia" w:ascii="仿宋" w:hAnsi="仿宋" w:eastAsia="仿宋" w:cs="仿宋"/>
          <w:kern w:val="0"/>
          <w:sz w:val="32"/>
          <w:szCs w:val="32"/>
          <w:lang w:val="en-US" w:eastAsia="zh-CN"/>
        </w:rPr>
        <w:t>110.6</w:t>
      </w:r>
      <w:r>
        <w:rPr>
          <w:rFonts w:hint="eastAsia" w:ascii="仿宋" w:hAnsi="仿宋" w:eastAsia="仿宋" w:cs="仿宋"/>
          <w:kern w:val="0"/>
          <w:sz w:val="32"/>
          <w:szCs w:val="32"/>
        </w:rPr>
        <w:t>万元，主要包括：基本工资、津贴补贴、奖金、绩效工资、机关事业单位基本养老保险缴费、职工基本医疗保险缴费、其他社会保障缴费、住房公积金、其他工资福利支出、退休费、生活补助等；公用经费</w:t>
      </w:r>
      <w:r>
        <w:rPr>
          <w:rFonts w:hint="eastAsia" w:ascii="仿宋" w:hAnsi="仿宋" w:eastAsia="仿宋" w:cs="仿宋"/>
          <w:kern w:val="0"/>
          <w:sz w:val="32"/>
          <w:szCs w:val="32"/>
          <w:lang w:val="en-US" w:eastAsia="zh-CN"/>
        </w:rPr>
        <w:t>13.5</w:t>
      </w:r>
      <w:r>
        <w:rPr>
          <w:rFonts w:hint="eastAsia" w:ascii="仿宋" w:hAnsi="仿宋" w:eastAsia="仿宋" w:cs="仿宋"/>
          <w:kern w:val="0"/>
          <w:sz w:val="32"/>
          <w:szCs w:val="32"/>
        </w:rPr>
        <w:t>万元，主要包括：办公费、印刷费、手续费、水费、电费、邮电费、差旅费、维修（护）费、租赁费、培训费、公务接待费、劳务费、福利费、委托业务费、公务用车运行维护费、其他交通费用、其他商品和服务支出等；项目经费</w:t>
      </w:r>
      <w:r>
        <w:rPr>
          <w:rFonts w:hint="eastAsia" w:ascii="仿宋" w:hAnsi="仿宋" w:eastAsia="仿宋" w:cs="仿宋"/>
          <w:kern w:val="0"/>
          <w:sz w:val="32"/>
          <w:szCs w:val="32"/>
          <w:lang w:val="en-US" w:eastAsia="zh-CN"/>
        </w:rPr>
        <w:t>1276.3</w:t>
      </w:r>
      <w:r>
        <w:rPr>
          <w:rFonts w:hint="eastAsia" w:ascii="仿宋" w:hAnsi="仿宋" w:eastAsia="仿宋" w:cs="仿宋"/>
          <w:kern w:val="0"/>
          <w:sz w:val="32"/>
          <w:szCs w:val="32"/>
        </w:rPr>
        <w:t>万元，主要包括：办公费、印刷费、水费、电费、邮电费、差旅费、维修（护）费、租赁费、会议费、培训费、公务接待费、劳务费、委托业务费、专用材料费、公务用车运行维护费、其他交通费用、其他商品和服务支出、生活补助、房屋建筑物构建、办公设备购置、专用设备购置、基础设施建设、大型修缮、土地补偿、其他资本性支出</w:t>
      </w:r>
      <w:r>
        <w:rPr>
          <w:rFonts w:hint="eastAsia" w:ascii="仿宋" w:hAnsi="仿宋" w:eastAsia="仿宋" w:cs="仿宋"/>
          <w:kern w:val="0"/>
          <w:sz w:val="32"/>
          <w:szCs w:val="32"/>
          <w:lang w:eastAsia="zh-CN"/>
        </w:rPr>
        <w:t>、老干部医疗保障经费</w:t>
      </w:r>
      <w:r>
        <w:rPr>
          <w:rFonts w:hint="eastAsia" w:ascii="仿宋" w:hAnsi="仿宋" w:eastAsia="仿宋" w:cs="仿宋"/>
          <w:kern w:val="0"/>
          <w:sz w:val="32"/>
          <w:szCs w:val="32"/>
        </w:rPr>
        <w:t>等。</w:t>
      </w:r>
    </w:p>
    <w:p>
      <w:pPr>
        <w:keepNext w:val="0"/>
        <w:keepLines w:val="0"/>
        <w:pageBreakBefore w:val="0"/>
        <w:widowControl w:val="0"/>
        <w:kinsoku/>
        <w:wordWrap/>
        <w:overflowPunct/>
        <w:topLinePunct w:val="0"/>
        <w:autoSpaceDE w:val="0"/>
        <w:autoSpaceDN w:val="0"/>
        <w:bidi w:val="0"/>
        <w:adjustRightInd w:val="0"/>
        <w:snapToGrid/>
        <w:spacing w:line="600" w:lineRule="exact"/>
        <w:ind w:right="0" w:rightChars="0" w:firstLine="630"/>
        <w:jc w:val="left"/>
        <w:textAlignment w:val="auto"/>
        <w:outlineLvl w:val="9"/>
        <w:rPr>
          <w:rFonts w:hint="eastAsia" w:cs="仿宋" w:asciiTheme="minorEastAsia" w:hAnsiTheme="minorEastAsia" w:eastAsiaTheme="minorEastAsia"/>
          <w:b/>
          <w:kern w:val="0"/>
          <w:sz w:val="32"/>
          <w:szCs w:val="32"/>
        </w:rPr>
      </w:pPr>
      <w:r>
        <w:rPr>
          <w:rFonts w:hint="eastAsia" w:cs="仿宋" w:asciiTheme="minorEastAsia" w:hAnsiTheme="minorEastAsia" w:eastAsiaTheme="minorEastAsia"/>
          <w:b/>
          <w:kern w:val="0"/>
          <w:sz w:val="32"/>
          <w:szCs w:val="32"/>
        </w:rPr>
        <w:t>七、一般公共预算基本支出预算情况说明</w:t>
      </w:r>
    </w:p>
    <w:p>
      <w:pPr>
        <w:keepNext w:val="0"/>
        <w:keepLines w:val="0"/>
        <w:pageBreakBefore w:val="0"/>
        <w:widowControl w:val="0"/>
        <w:kinsoku/>
        <w:wordWrap/>
        <w:overflowPunct/>
        <w:topLinePunct w:val="0"/>
        <w:autoSpaceDE w:val="0"/>
        <w:autoSpaceDN w:val="0"/>
        <w:bidi w:val="0"/>
        <w:adjustRightInd w:val="0"/>
        <w:snapToGrid/>
        <w:spacing w:line="600" w:lineRule="exact"/>
        <w:ind w:right="0" w:rightChars="0" w:firstLine="630"/>
        <w:jc w:val="left"/>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lang w:eastAsia="zh-CN"/>
        </w:rPr>
        <w:t>老干部局</w:t>
      </w:r>
      <w:r>
        <w:rPr>
          <w:rFonts w:hint="eastAsia" w:ascii="仿宋" w:hAnsi="仿宋" w:eastAsia="仿宋" w:cs="仿宋"/>
          <w:kern w:val="0"/>
          <w:sz w:val="32"/>
          <w:szCs w:val="32"/>
        </w:rPr>
        <w:t>2018年</w:t>
      </w:r>
      <w:r>
        <w:rPr>
          <w:rFonts w:hint="eastAsia" w:ascii="仿宋" w:hAnsi="仿宋" w:eastAsia="仿宋" w:cs="仿宋"/>
          <w:kern w:val="0"/>
          <w:sz w:val="32"/>
          <w:szCs w:val="32"/>
          <w:lang w:eastAsia="zh-CN"/>
        </w:rPr>
        <w:t>预算</w:t>
      </w:r>
      <w:bookmarkStart w:id="0" w:name="_GoBack"/>
      <w:bookmarkEnd w:id="0"/>
      <w:r>
        <w:rPr>
          <w:rFonts w:hint="eastAsia" w:ascii="仿宋" w:hAnsi="仿宋" w:eastAsia="仿宋" w:cs="仿宋"/>
          <w:kern w:val="0"/>
          <w:sz w:val="32"/>
          <w:szCs w:val="32"/>
        </w:rPr>
        <w:t>支出合计</w:t>
      </w:r>
      <w:r>
        <w:rPr>
          <w:rFonts w:hint="eastAsia" w:ascii="仿宋" w:hAnsi="仿宋" w:eastAsia="仿宋" w:cs="仿宋"/>
          <w:kern w:val="0"/>
          <w:sz w:val="32"/>
          <w:szCs w:val="32"/>
          <w:lang w:val="en-US" w:eastAsia="zh-CN"/>
        </w:rPr>
        <w:t>124.1</w:t>
      </w:r>
      <w:r>
        <w:rPr>
          <w:rFonts w:hint="eastAsia" w:ascii="仿宋" w:hAnsi="仿宋" w:eastAsia="仿宋" w:cs="仿宋"/>
          <w:kern w:val="0"/>
          <w:sz w:val="32"/>
          <w:szCs w:val="32"/>
        </w:rPr>
        <w:t>万元，其中工资福利性支出</w:t>
      </w:r>
      <w:r>
        <w:rPr>
          <w:rFonts w:hint="eastAsia" w:ascii="仿宋" w:hAnsi="仿宋" w:eastAsia="仿宋" w:cs="仿宋"/>
          <w:kern w:val="0"/>
          <w:sz w:val="32"/>
          <w:szCs w:val="32"/>
          <w:lang w:val="en-US" w:eastAsia="zh-CN"/>
        </w:rPr>
        <w:t>104.6</w:t>
      </w:r>
      <w:r>
        <w:rPr>
          <w:rFonts w:hint="eastAsia" w:ascii="仿宋" w:hAnsi="仿宋" w:eastAsia="仿宋" w:cs="仿宋"/>
          <w:kern w:val="0"/>
          <w:sz w:val="32"/>
          <w:szCs w:val="32"/>
        </w:rPr>
        <w:t>万元，占</w:t>
      </w:r>
      <w:r>
        <w:rPr>
          <w:rFonts w:hint="eastAsia" w:ascii="仿宋" w:hAnsi="仿宋" w:eastAsia="仿宋" w:cs="仿宋"/>
          <w:kern w:val="0"/>
          <w:sz w:val="32"/>
          <w:szCs w:val="32"/>
          <w:lang w:val="en-US" w:eastAsia="zh-CN"/>
        </w:rPr>
        <w:t>84.3</w:t>
      </w:r>
      <w:r>
        <w:rPr>
          <w:rFonts w:hint="eastAsia" w:ascii="仿宋" w:hAnsi="仿宋" w:eastAsia="仿宋" w:cs="仿宋"/>
          <w:kern w:val="0"/>
          <w:sz w:val="32"/>
          <w:szCs w:val="32"/>
        </w:rPr>
        <w:t>%；商品和服务支出</w:t>
      </w:r>
      <w:r>
        <w:rPr>
          <w:rFonts w:hint="eastAsia" w:ascii="仿宋" w:hAnsi="仿宋" w:eastAsia="仿宋" w:cs="仿宋"/>
          <w:kern w:val="0"/>
          <w:sz w:val="32"/>
          <w:szCs w:val="32"/>
          <w:lang w:val="en-US" w:eastAsia="zh-CN"/>
        </w:rPr>
        <w:t>13.5</w:t>
      </w:r>
      <w:r>
        <w:rPr>
          <w:rFonts w:hint="eastAsia" w:ascii="仿宋" w:hAnsi="仿宋" w:eastAsia="仿宋" w:cs="仿宋"/>
          <w:kern w:val="0"/>
          <w:sz w:val="32"/>
          <w:szCs w:val="32"/>
        </w:rPr>
        <w:t>万元，占</w:t>
      </w:r>
      <w:r>
        <w:rPr>
          <w:rFonts w:hint="eastAsia" w:ascii="仿宋" w:hAnsi="仿宋" w:eastAsia="仿宋" w:cs="仿宋"/>
          <w:kern w:val="0"/>
          <w:sz w:val="32"/>
          <w:szCs w:val="32"/>
          <w:lang w:val="en-US" w:eastAsia="zh-CN"/>
        </w:rPr>
        <w:t>10.9</w:t>
      </w:r>
      <w:r>
        <w:rPr>
          <w:rFonts w:hint="eastAsia" w:ascii="仿宋" w:hAnsi="仿宋" w:eastAsia="仿宋" w:cs="仿宋"/>
          <w:kern w:val="0"/>
          <w:sz w:val="32"/>
          <w:szCs w:val="32"/>
        </w:rPr>
        <w:t>%，对个人和家庭补助支出</w:t>
      </w:r>
      <w:r>
        <w:rPr>
          <w:rFonts w:hint="eastAsia" w:ascii="仿宋" w:hAnsi="仿宋" w:eastAsia="仿宋" w:cs="仿宋"/>
          <w:kern w:val="0"/>
          <w:sz w:val="32"/>
          <w:szCs w:val="32"/>
          <w:lang w:val="en-US" w:eastAsia="zh-CN"/>
        </w:rPr>
        <w:t>6</w:t>
      </w:r>
      <w:r>
        <w:rPr>
          <w:rFonts w:hint="eastAsia" w:ascii="仿宋" w:hAnsi="仿宋" w:eastAsia="仿宋" w:cs="仿宋"/>
          <w:kern w:val="0"/>
          <w:sz w:val="32"/>
          <w:szCs w:val="32"/>
        </w:rPr>
        <w:t>万元，占</w:t>
      </w:r>
      <w:r>
        <w:rPr>
          <w:rFonts w:hint="eastAsia" w:ascii="仿宋" w:hAnsi="仿宋" w:eastAsia="仿宋" w:cs="仿宋"/>
          <w:kern w:val="0"/>
          <w:sz w:val="32"/>
          <w:szCs w:val="32"/>
          <w:lang w:val="en-US" w:eastAsia="zh-CN"/>
        </w:rPr>
        <w:t>4.8</w:t>
      </w:r>
      <w:r>
        <w:rPr>
          <w:rFonts w:hint="eastAsia" w:ascii="仿宋" w:hAnsi="仿宋" w:eastAsia="仿宋" w:cs="仿宋"/>
          <w:kern w:val="0"/>
          <w:sz w:val="32"/>
          <w:szCs w:val="32"/>
        </w:rPr>
        <w:t>%。比2017年减少</w:t>
      </w:r>
      <w:r>
        <w:rPr>
          <w:rFonts w:hint="eastAsia" w:ascii="仿宋" w:hAnsi="仿宋" w:eastAsia="仿宋" w:cs="仿宋"/>
          <w:kern w:val="0"/>
          <w:sz w:val="32"/>
          <w:szCs w:val="32"/>
          <w:lang w:val="en-US" w:eastAsia="zh-CN"/>
        </w:rPr>
        <w:t>1186.6</w:t>
      </w:r>
      <w:r>
        <w:rPr>
          <w:rFonts w:hint="eastAsia" w:ascii="仿宋" w:hAnsi="仿宋" w:eastAsia="仿宋" w:cs="仿宋"/>
          <w:kern w:val="0"/>
          <w:sz w:val="32"/>
          <w:szCs w:val="32"/>
        </w:rPr>
        <w:t>万元。主要原因：</w:t>
      </w:r>
      <w:r>
        <w:rPr>
          <w:rFonts w:hint="eastAsia" w:ascii="仿宋" w:hAnsi="仿宋" w:eastAsia="仿宋" w:cs="仿宋"/>
          <w:kern w:val="0"/>
          <w:sz w:val="32"/>
          <w:szCs w:val="32"/>
          <w:lang w:val="en-US" w:eastAsia="zh-CN"/>
        </w:rPr>
        <w:t>2017</w:t>
      </w:r>
      <w:r>
        <w:rPr>
          <w:rFonts w:hint="eastAsia" w:ascii="仿宋" w:hAnsi="仿宋" w:eastAsia="仿宋" w:cs="仿宋"/>
          <w:kern w:val="0"/>
          <w:sz w:val="32"/>
          <w:szCs w:val="32"/>
          <w:lang w:eastAsia="zh-CN"/>
        </w:rPr>
        <w:t>老干部医疗保障经费列入对个人和家庭的补助支出，</w:t>
      </w:r>
      <w:r>
        <w:rPr>
          <w:rFonts w:hint="eastAsia" w:ascii="仿宋" w:hAnsi="仿宋" w:eastAsia="仿宋" w:cs="仿宋"/>
          <w:kern w:val="0"/>
          <w:sz w:val="32"/>
          <w:szCs w:val="32"/>
          <w:lang w:val="en-US" w:eastAsia="zh-CN"/>
        </w:rPr>
        <w:t>2018年列入专项支出。</w:t>
      </w:r>
    </w:p>
    <w:p>
      <w:pPr>
        <w:keepNext w:val="0"/>
        <w:keepLines w:val="0"/>
        <w:pageBreakBefore w:val="0"/>
        <w:widowControl w:val="0"/>
        <w:kinsoku/>
        <w:wordWrap/>
        <w:overflowPunct/>
        <w:topLinePunct w:val="0"/>
        <w:autoSpaceDE w:val="0"/>
        <w:autoSpaceDN w:val="0"/>
        <w:bidi w:val="0"/>
        <w:adjustRightInd w:val="0"/>
        <w:snapToGrid/>
        <w:spacing w:line="600" w:lineRule="exact"/>
        <w:ind w:right="0" w:rightChars="0"/>
        <w:jc w:val="left"/>
        <w:textAlignment w:val="auto"/>
        <w:outlineLvl w:val="9"/>
        <w:rPr>
          <w:rFonts w:ascii="黑体" w:eastAsia="黑体" w:cs="黑体"/>
          <w:kern w:val="0"/>
          <w:sz w:val="32"/>
          <w:szCs w:val="32"/>
        </w:rPr>
      </w:pPr>
      <w:r>
        <w:rPr>
          <w:rFonts w:hint="eastAsia" w:ascii="黑体" w:eastAsia="黑体" w:cs="黑体"/>
          <w:kern w:val="0"/>
          <w:sz w:val="32"/>
          <w:szCs w:val="32"/>
        </w:rPr>
        <w:t xml:space="preserve">    八、政府性基金预算支出预算情况说明</w:t>
      </w:r>
    </w:p>
    <w:p>
      <w:pPr>
        <w:keepNext w:val="0"/>
        <w:keepLines w:val="0"/>
        <w:pageBreakBefore w:val="0"/>
        <w:widowControl w:val="0"/>
        <w:kinsoku/>
        <w:wordWrap/>
        <w:overflowPunct/>
        <w:topLinePunct w:val="0"/>
        <w:autoSpaceDE w:val="0"/>
        <w:autoSpaceDN w:val="0"/>
        <w:bidi w:val="0"/>
        <w:adjustRightInd w:val="0"/>
        <w:snapToGrid/>
        <w:spacing w:line="600" w:lineRule="exact"/>
        <w:ind w:right="0" w:rightChars="0" w:firstLine="640"/>
        <w:jc w:val="left"/>
        <w:textAlignment w:val="auto"/>
        <w:outlineLvl w:val="9"/>
        <w:rPr>
          <w:rFonts w:hint="eastAsia" w:ascii="黑体" w:eastAsia="黑体" w:cs="黑体"/>
          <w:kern w:val="0"/>
          <w:sz w:val="32"/>
          <w:szCs w:val="32"/>
        </w:rPr>
      </w:pPr>
      <w:r>
        <w:rPr>
          <w:rFonts w:hint="eastAsia" w:ascii="仿宋" w:hAnsi="仿宋" w:eastAsia="仿宋" w:cs="仿宋"/>
          <w:kern w:val="0"/>
          <w:sz w:val="32"/>
          <w:szCs w:val="32"/>
          <w:lang w:eastAsia="zh-CN"/>
        </w:rPr>
        <w:t>老干部局</w:t>
      </w:r>
      <w:r>
        <w:rPr>
          <w:rFonts w:hint="eastAsia" w:ascii="仿宋" w:hAnsi="仿宋" w:eastAsia="仿宋" w:cs="仿宋"/>
          <w:kern w:val="0"/>
          <w:sz w:val="32"/>
          <w:szCs w:val="32"/>
        </w:rPr>
        <w:t>2018 年政府性基金预算支出</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万元（含上级</w:t>
      </w:r>
      <w:r>
        <w:rPr>
          <w:rFonts w:hint="eastAsia" w:ascii="仿宋" w:hAnsi="仿宋" w:eastAsia="仿宋" w:cs="仿宋"/>
          <w:kern w:val="0"/>
          <w:sz w:val="32"/>
          <w:szCs w:val="32"/>
          <w:lang w:eastAsia="zh-CN"/>
        </w:rPr>
        <w:t>转移支付</w:t>
      </w:r>
      <w:r>
        <w:rPr>
          <w:rFonts w:hint="eastAsia" w:ascii="仿宋" w:hAnsi="仿宋" w:eastAsia="仿宋" w:cs="仿宋"/>
          <w:kern w:val="0"/>
          <w:sz w:val="32"/>
          <w:szCs w:val="32"/>
        </w:rPr>
        <w:t>（政府性基金）0 万元）</w:t>
      </w:r>
      <w:r>
        <w:rPr>
          <w:rFonts w:hint="eastAsia" w:ascii="仿宋" w:hAnsi="仿宋" w:eastAsia="仿宋" w:cs="仿宋"/>
          <w:kern w:val="0"/>
          <w:sz w:val="32"/>
          <w:szCs w:val="32"/>
          <w:lang w:eastAsia="zh-CN"/>
        </w:rPr>
        <w:t>。主要原因：我单位没有使用政府性基金安排支出。</w:t>
      </w:r>
      <w:r>
        <w:rPr>
          <w:rFonts w:hint="eastAsia" w:ascii="黑体" w:eastAsia="黑体" w:cs="黑体"/>
          <w:kern w:val="0"/>
          <w:sz w:val="32"/>
          <w:szCs w:val="32"/>
        </w:rPr>
        <w:t xml:space="preserve">   </w:t>
      </w:r>
    </w:p>
    <w:p>
      <w:pPr>
        <w:keepNext w:val="0"/>
        <w:keepLines w:val="0"/>
        <w:pageBreakBefore w:val="0"/>
        <w:widowControl w:val="0"/>
        <w:kinsoku/>
        <w:wordWrap/>
        <w:overflowPunct/>
        <w:topLinePunct w:val="0"/>
        <w:autoSpaceDE w:val="0"/>
        <w:autoSpaceDN w:val="0"/>
        <w:bidi w:val="0"/>
        <w:adjustRightInd w:val="0"/>
        <w:snapToGrid/>
        <w:spacing w:line="600" w:lineRule="exact"/>
        <w:ind w:right="0" w:rightChars="0" w:firstLine="640"/>
        <w:jc w:val="left"/>
        <w:textAlignment w:val="auto"/>
        <w:outlineLvl w:val="9"/>
        <w:rPr>
          <w:rFonts w:ascii="黑体" w:eastAsia="黑体" w:cs="黑体"/>
          <w:kern w:val="0"/>
          <w:sz w:val="32"/>
          <w:szCs w:val="32"/>
        </w:rPr>
      </w:pPr>
      <w:r>
        <w:rPr>
          <w:rFonts w:hint="eastAsia" w:ascii="黑体" w:eastAsia="黑体" w:cs="黑体"/>
          <w:kern w:val="0"/>
          <w:sz w:val="32"/>
          <w:szCs w:val="32"/>
        </w:rPr>
        <w:t xml:space="preserve"> 九、“三公”经费支出预算情况说明</w:t>
      </w:r>
    </w:p>
    <w:p>
      <w:pPr>
        <w:keepNext w:val="0"/>
        <w:keepLines w:val="0"/>
        <w:pageBreakBefore w:val="0"/>
        <w:widowControl w:val="0"/>
        <w:kinsoku/>
        <w:wordWrap/>
        <w:overflowPunct/>
        <w:topLinePunct w:val="0"/>
        <w:autoSpaceDE w:val="0"/>
        <w:autoSpaceDN w:val="0"/>
        <w:bidi w:val="0"/>
        <w:adjustRightInd w:val="0"/>
        <w:snapToGrid/>
        <w:spacing w:line="600" w:lineRule="exact"/>
        <w:ind w:right="0" w:rightChars="0"/>
        <w:jc w:val="left"/>
        <w:textAlignment w:val="auto"/>
        <w:outlineLvl w:val="9"/>
        <w:rPr>
          <w:rFonts w:hint="eastAsia" w:ascii="仿宋" w:hAnsi="仿宋" w:eastAsia="仿宋" w:cs="仿宋"/>
          <w:kern w:val="0"/>
          <w:sz w:val="32"/>
          <w:szCs w:val="32"/>
        </w:rPr>
      </w:pPr>
      <w:r>
        <w:rPr>
          <w:rFonts w:hint="eastAsia" w:ascii="仿宋" w:eastAsia="仿宋" w:cs="仿宋"/>
          <w:kern w:val="0"/>
          <w:sz w:val="32"/>
          <w:szCs w:val="32"/>
        </w:rPr>
        <w:t xml:space="preserve">   </w:t>
      </w:r>
      <w:r>
        <w:rPr>
          <w:rFonts w:hint="eastAsia" w:cs="仿宋" w:asciiTheme="minorEastAsia" w:hAnsiTheme="minorEastAsia" w:eastAsiaTheme="minorEastAsia"/>
          <w:kern w:val="0"/>
          <w:sz w:val="32"/>
          <w:szCs w:val="32"/>
        </w:rPr>
        <w:t xml:space="preserve"> </w:t>
      </w:r>
      <w:r>
        <w:rPr>
          <w:rFonts w:hint="eastAsia" w:cs="仿宋" w:asciiTheme="minorEastAsia" w:hAnsiTheme="minorEastAsia" w:eastAsiaTheme="minorEastAsia"/>
          <w:kern w:val="0"/>
          <w:sz w:val="32"/>
          <w:szCs w:val="32"/>
          <w:lang w:val="en-US" w:eastAsia="zh-CN"/>
        </w:rPr>
        <w:t xml:space="preserve"> </w:t>
      </w:r>
      <w:r>
        <w:rPr>
          <w:rFonts w:hint="eastAsia" w:ascii="仿宋" w:hAnsi="仿宋" w:eastAsia="仿宋" w:cs="仿宋"/>
          <w:kern w:val="0"/>
          <w:sz w:val="32"/>
          <w:szCs w:val="32"/>
          <w:lang w:eastAsia="zh-CN"/>
        </w:rPr>
        <w:t>老干部局</w:t>
      </w:r>
      <w:r>
        <w:rPr>
          <w:rFonts w:hint="eastAsia" w:ascii="仿宋" w:hAnsi="仿宋" w:eastAsia="仿宋" w:cs="仿宋"/>
          <w:kern w:val="0"/>
          <w:sz w:val="32"/>
          <w:szCs w:val="32"/>
        </w:rPr>
        <w:t>2018年“三公”经费支出预算数为</w:t>
      </w:r>
      <w:r>
        <w:rPr>
          <w:rFonts w:hint="eastAsia" w:ascii="仿宋" w:hAnsi="仿宋" w:eastAsia="仿宋" w:cs="仿宋"/>
          <w:kern w:val="0"/>
          <w:sz w:val="32"/>
          <w:szCs w:val="32"/>
          <w:lang w:val="en-US" w:eastAsia="zh-CN"/>
        </w:rPr>
        <w:t>4</w:t>
      </w:r>
      <w:r>
        <w:rPr>
          <w:rFonts w:hint="eastAsia" w:ascii="仿宋" w:hAnsi="仿宋" w:eastAsia="仿宋" w:cs="仿宋"/>
          <w:kern w:val="0"/>
          <w:sz w:val="32"/>
          <w:szCs w:val="32"/>
        </w:rPr>
        <w:t>万元，比2017 年</w:t>
      </w:r>
      <w:r>
        <w:rPr>
          <w:rFonts w:hint="eastAsia" w:ascii="仿宋" w:hAnsi="仿宋" w:eastAsia="仿宋" w:cs="仿宋"/>
          <w:kern w:val="0"/>
          <w:sz w:val="32"/>
          <w:szCs w:val="32"/>
          <w:lang w:eastAsia="zh-CN"/>
        </w:rPr>
        <w:t>增加</w:t>
      </w:r>
      <w:r>
        <w:rPr>
          <w:rFonts w:hint="eastAsia" w:ascii="仿宋" w:hAnsi="仿宋" w:eastAsia="仿宋" w:cs="仿宋"/>
          <w:kern w:val="0"/>
          <w:sz w:val="32"/>
          <w:szCs w:val="32"/>
          <w:lang w:val="en-US" w:eastAsia="zh-CN"/>
        </w:rPr>
        <w:t>1</w:t>
      </w:r>
      <w:r>
        <w:rPr>
          <w:rFonts w:hint="eastAsia" w:ascii="仿宋" w:hAnsi="仿宋" w:eastAsia="仿宋" w:cs="仿宋"/>
          <w:kern w:val="0"/>
          <w:sz w:val="32"/>
          <w:szCs w:val="32"/>
        </w:rPr>
        <w:t>万元，</w:t>
      </w:r>
      <w:r>
        <w:rPr>
          <w:rFonts w:hint="eastAsia" w:ascii="仿宋" w:hAnsi="仿宋" w:eastAsia="仿宋" w:cs="仿宋"/>
          <w:kern w:val="0"/>
          <w:sz w:val="32"/>
          <w:szCs w:val="32"/>
          <w:lang w:eastAsia="zh-CN"/>
        </w:rPr>
        <w:t>增加</w:t>
      </w:r>
      <w:r>
        <w:rPr>
          <w:rFonts w:hint="eastAsia" w:ascii="仿宋" w:hAnsi="仿宋" w:eastAsia="仿宋" w:cs="仿宋"/>
          <w:kern w:val="0"/>
          <w:sz w:val="32"/>
          <w:szCs w:val="32"/>
          <w:lang w:val="en-US" w:eastAsia="zh-CN"/>
        </w:rPr>
        <w:t>33</w:t>
      </w:r>
      <w:r>
        <w:rPr>
          <w:rFonts w:hint="eastAsia" w:ascii="仿宋" w:hAnsi="仿宋" w:eastAsia="仿宋" w:cs="仿宋"/>
          <w:kern w:val="0"/>
          <w:sz w:val="32"/>
          <w:szCs w:val="32"/>
        </w:rPr>
        <w:t>%。</w:t>
      </w:r>
      <w:r>
        <w:rPr>
          <w:rFonts w:hint="eastAsia" w:ascii="仿宋" w:hAnsi="仿宋" w:eastAsia="仿宋" w:cs="仿宋"/>
          <w:kern w:val="0"/>
          <w:sz w:val="32"/>
          <w:szCs w:val="32"/>
          <w:lang w:eastAsia="zh-CN"/>
        </w:rPr>
        <w:t>增长原因：</w:t>
      </w:r>
      <w:r>
        <w:rPr>
          <w:rFonts w:hint="eastAsia" w:ascii="仿宋" w:hAnsi="仿宋" w:eastAsia="仿宋" w:cs="仿宋"/>
          <w:kern w:val="0"/>
          <w:sz w:val="32"/>
          <w:szCs w:val="32"/>
          <w:lang w:val="en-US" w:eastAsia="zh-CN"/>
        </w:rPr>
        <w:t>2017年没有预算公务接待费，因工作需要2018年预算公务接待费1万元。</w:t>
      </w:r>
    </w:p>
    <w:p>
      <w:pPr>
        <w:keepNext w:val="0"/>
        <w:keepLines w:val="0"/>
        <w:pageBreakBefore w:val="0"/>
        <w:widowControl w:val="0"/>
        <w:kinsoku/>
        <w:wordWrap/>
        <w:overflowPunct/>
        <w:topLinePunct w:val="0"/>
        <w:autoSpaceDE w:val="0"/>
        <w:autoSpaceDN w:val="0"/>
        <w:bidi w:val="0"/>
        <w:adjustRightInd w:val="0"/>
        <w:snapToGrid/>
        <w:spacing w:line="600" w:lineRule="exact"/>
        <w:ind w:right="0" w:rightChars="0"/>
        <w:jc w:val="left"/>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 xml:space="preserve">    具体支出情况如下：</w:t>
      </w:r>
    </w:p>
    <w:p>
      <w:pPr>
        <w:keepNext w:val="0"/>
        <w:keepLines w:val="0"/>
        <w:pageBreakBefore w:val="0"/>
        <w:widowControl w:val="0"/>
        <w:kinsoku/>
        <w:wordWrap/>
        <w:overflowPunct/>
        <w:topLinePunct w:val="0"/>
        <w:autoSpaceDE w:val="0"/>
        <w:autoSpaceDN w:val="0"/>
        <w:bidi w:val="0"/>
        <w:adjustRightInd w:val="0"/>
        <w:snapToGrid/>
        <w:spacing w:line="600" w:lineRule="exact"/>
        <w:ind w:right="0" w:rightChars="0"/>
        <w:jc w:val="left"/>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 xml:space="preserve">    （一）因公出国（境）费0万元，与去年</w:t>
      </w:r>
      <w:r>
        <w:rPr>
          <w:rFonts w:hint="eastAsia" w:ascii="仿宋" w:hAnsi="仿宋" w:eastAsia="仿宋" w:cs="仿宋"/>
          <w:kern w:val="0"/>
          <w:sz w:val="32"/>
          <w:szCs w:val="32"/>
          <w:lang w:eastAsia="zh-CN"/>
        </w:rPr>
        <w:t>增长</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lang w:val="en-US"/>
        </w:rPr>
        <w:t>,</w:t>
      </w:r>
      <w:r>
        <w:rPr>
          <w:rFonts w:hint="eastAsia" w:ascii="仿宋" w:hAnsi="仿宋" w:eastAsia="仿宋" w:cs="仿宋"/>
          <w:kern w:val="0"/>
          <w:sz w:val="32"/>
          <w:szCs w:val="32"/>
          <w:lang w:val="en-US" w:eastAsia="zh-CN"/>
        </w:rPr>
        <w:t>主要原因是：2018年我单位没有安排出国境任务。</w:t>
      </w:r>
    </w:p>
    <w:p>
      <w:pPr>
        <w:keepNext w:val="0"/>
        <w:keepLines w:val="0"/>
        <w:pageBreakBefore w:val="0"/>
        <w:widowControl w:val="0"/>
        <w:kinsoku/>
        <w:wordWrap/>
        <w:overflowPunct/>
        <w:topLinePunct w:val="0"/>
        <w:autoSpaceDE w:val="0"/>
        <w:autoSpaceDN w:val="0"/>
        <w:bidi w:val="0"/>
        <w:adjustRightInd w:val="0"/>
        <w:snapToGrid/>
        <w:spacing w:line="600" w:lineRule="exact"/>
        <w:ind w:right="0" w:rightChars="0"/>
        <w:jc w:val="left"/>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 xml:space="preserve">    （二）公务用车购置及运行费</w:t>
      </w:r>
      <w:r>
        <w:rPr>
          <w:rFonts w:hint="eastAsia" w:ascii="仿宋" w:hAnsi="仿宋" w:eastAsia="仿宋" w:cs="仿宋"/>
          <w:kern w:val="0"/>
          <w:sz w:val="32"/>
          <w:szCs w:val="32"/>
          <w:lang w:val="en-US" w:eastAsia="zh-CN"/>
        </w:rPr>
        <w:t>3</w:t>
      </w:r>
      <w:r>
        <w:rPr>
          <w:rFonts w:hint="eastAsia" w:ascii="仿宋" w:hAnsi="仿宋" w:eastAsia="仿宋" w:cs="仿宋"/>
          <w:kern w:val="0"/>
          <w:sz w:val="32"/>
          <w:szCs w:val="32"/>
        </w:rPr>
        <w:t>万元，其中</w:t>
      </w:r>
      <w:r>
        <w:rPr>
          <w:rFonts w:hint="eastAsia" w:ascii="仿宋" w:hAnsi="仿宋" w:eastAsia="仿宋" w:cs="仿宋"/>
          <w:kern w:val="0"/>
          <w:sz w:val="32"/>
          <w:szCs w:val="32"/>
          <w:lang w:eastAsia="zh-CN"/>
        </w:rPr>
        <w:t>：公务用车购置支出</w:t>
      </w:r>
      <w:r>
        <w:rPr>
          <w:rFonts w:hint="eastAsia" w:ascii="仿宋" w:hAnsi="仿宋" w:eastAsia="仿宋" w:cs="仿宋"/>
          <w:kern w:val="0"/>
          <w:sz w:val="32"/>
          <w:szCs w:val="32"/>
          <w:lang w:val="en-US" w:eastAsia="zh-CN"/>
        </w:rPr>
        <w:t>0万元，购置车辆0台，公务用车保有量1辆；</w:t>
      </w:r>
      <w:r>
        <w:rPr>
          <w:rFonts w:hint="eastAsia" w:ascii="仿宋" w:hAnsi="仿宋" w:eastAsia="仿宋" w:cs="仿宋"/>
          <w:kern w:val="0"/>
          <w:sz w:val="32"/>
          <w:szCs w:val="32"/>
        </w:rPr>
        <w:t>公务用车运行维护费</w:t>
      </w:r>
      <w:r>
        <w:rPr>
          <w:rFonts w:hint="eastAsia" w:ascii="仿宋" w:hAnsi="仿宋" w:eastAsia="仿宋" w:cs="仿宋"/>
          <w:kern w:val="0"/>
          <w:sz w:val="32"/>
          <w:szCs w:val="32"/>
          <w:lang w:val="en-US" w:eastAsia="zh-CN"/>
        </w:rPr>
        <w:t>3</w:t>
      </w:r>
      <w:r>
        <w:rPr>
          <w:rFonts w:hint="eastAsia" w:ascii="仿宋" w:hAnsi="仿宋" w:eastAsia="仿宋" w:cs="仿宋"/>
          <w:kern w:val="0"/>
          <w:sz w:val="32"/>
          <w:szCs w:val="32"/>
        </w:rPr>
        <w:t>万元，主要用于车辆下乡燃油费、过路费、保险费等，比2017年减少</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万元，</w:t>
      </w:r>
      <w:r>
        <w:rPr>
          <w:rFonts w:hint="eastAsia" w:ascii="仿宋" w:hAnsi="仿宋" w:eastAsia="仿宋" w:cs="仿宋"/>
          <w:kern w:val="0"/>
          <w:sz w:val="32"/>
          <w:szCs w:val="32"/>
          <w:lang w:eastAsia="zh-CN"/>
        </w:rPr>
        <w:t>较</w:t>
      </w:r>
      <w:r>
        <w:rPr>
          <w:rFonts w:hint="eastAsia" w:ascii="仿宋" w:hAnsi="仿宋" w:eastAsia="仿宋" w:cs="仿宋"/>
          <w:kern w:val="0"/>
          <w:sz w:val="32"/>
          <w:szCs w:val="32"/>
        </w:rPr>
        <w:t>上年</w:t>
      </w:r>
      <w:r>
        <w:rPr>
          <w:rFonts w:hint="eastAsia" w:ascii="仿宋" w:hAnsi="仿宋" w:eastAsia="仿宋" w:cs="仿宋"/>
          <w:kern w:val="0"/>
          <w:sz w:val="32"/>
          <w:szCs w:val="32"/>
          <w:lang w:eastAsia="zh-CN"/>
        </w:rPr>
        <w:t>增长</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，主要原因：本着厉行节约的原则，</w:t>
      </w:r>
      <w:r>
        <w:rPr>
          <w:rFonts w:hint="eastAsia" w:ascii="仿宋" w:hAnsi="仿宋" w:eastAsia="仿宋" w:cs="仿宋"/>
          <w:kern w:val="0"/>
          <w:sz w:val="32"/>
          <w:szCs w:val="32"/>
          <w:lang w:eastAsia="zh-CN"/>
        </w:rPr>
        <w:t>加强公务用车管理，</w:t>
      </w:r>
      <w:r>
        <w:rPr>
          <w:rFonts w:hint="eastAsia" w:ascii="仿宋" w:hAnsi="仿宋" w:eastAsia="仿宋" w:cs="仿宋"/>
          <w:kern w:val="0"/>
          <w:sz w:val="32"/>
          <w:szCs w:val="32"/>
        </w:rPr>
        <w:t>严格控制车辆支出。</w:t>
      </w:r>
    </w:p>
    <w:p>
      <w:pPr>
        <w:keepNext w:val="0"/>
        <w:keepLines w:val="0"/>
        <w:pageBreakBefore w:val="0"/>
        <w:widowControl w:val="0"/>
        <w:kinsoku/>
        <w:wordWrap/>
        <w:overflowPunct/>
        <w:topLinePunct w:val="0"/>
        <w:autoSpaceDE w:val="0"/>
        <w:autoSpaceDN w:val="0"/>
        <w:bidi w:val="0"/>
        <w:adjustRightInd w:val="0"/>
        <w:snapToGrid/>
        <w:spacing w:line="600" w:lineRule="exact"/>
        <w:ind w:right="0" w:rightChars="0"/>
        <w:jc w:val="left"/>
        <w:textAlignment w:val="auto"/>
        <w:outlineLvl w:val="9"/>
        <w:rPr>
          <w:rFonts w:cs="仿宋" w:asciiTheme="minorEastAsia" w:hAnsiTheme="minorEastAsia" w:eastAsiaTheme="minorEastAsia"/>
          <w:kern w:val="0"/>
          <w:sz w:val="32"/>
          <w:szCs w:val="32"/>
        </w:rPr>
      </w:pPr>
      <w:r>
        <w:rPr>
          <w:rFonts w:hint="eastAsia" w:ascii="仿宋" w:hAnsi="仿宋" w:eastAsia="仿宋" w:cs="仿宋"/>
          <w:kern w:val="0"/>
          <w:sz w:val="32"/>
          <w:szCs w:val="32"/>
        </w:rPr>
        <w:t xml:space="preserve">    （三）公务接待费</w:t>
      </w:r>
      <w:r>
        <w:rPr>
          <w:rFonts w:hint="eastAsia" w:ascii="仿宋" w:hAnsi="仿宋" w:eastAsia="仿宋" w:cs="仿宋"/>
          <w:kern w:val="0"/>
          <w:sz w:val="32"/>
          <w:szCs w:val="32"/>
          <w:lang w:val="en-US" w:eastAsia="zh-CN"/>
        </w:rPr>
        <w:t>1</w:t>
      </w:r>
      <w:r>
        <w:rPr>
          <w:rFonts w:hint="eastAsia" w:ascii="仿宋" w:hAnsi="仿宋" w:eastAsia="仿宋" w:cs="仿宋"/>
          <w:kern w:val="0"/>
          <w:sz w:val="32"/>
          <w:szCs w:val="32"/>
        </w:rPr>
        <w:t>万元，主要用于上级检查、督导、兄弟城市之间的学习交流等，比2017年增加</w:t>
      </w:r>
      <w:r>
        <w:rPr>
          <w:rFonts w:hint="eastAsia" w:ascii="仿宋" w:hAnsi="仿宋" w:eastAsia="仿宋" w:cs="仿宋"/>
          <w:kern w:val="0"/>
          <w:sz w:val="32"/>
          <w:szCs w:val="32"/>
          <w:lang w:val="en-US" w:eastAsia="zh-CN"/>
        </w:rPr>
        <w:t>1</w:t>
      </w:r>
      <w:r>
        <w:rPr>
          <w:rFonts w:hint="eastAsia" w:ascii="仿宋" w:hAnsi="仿宋" w:eastAsia="仿宋" w:cs="仿宋"/>
          <w:kern w:val="0"/>
          <w:sz w:val="32"/>
          <w:szCs w:val="32"/>
        </w:rPr>
        <w:t>万元，较上年</w:t>
      </w:r>
      <w:r>
        <w:rPr>
          <w:rFonts w:hint="eastAsia" w:ascii="仿宋" w:hAnsi="仿宋" w:eastAsia="仿宋" w:cs="仿宋"/>
          <w:kern w:val="0"/>
          <w:sz w:val="32"/>
          <w:szCs w:val="32"/>
          <w:lang w:eastAsia="zh-CN"/>
        </w:rPr>
        <w:t>增长</w:t>
      </w:r>
      <w:r>
        <w:rPr>
          <w:rFonts w:hint="eastAsia" w:ascii="仿宋" w:hAnsi="仿宋" w:eastAsia="仿宋" w:cs="仿宋"/>
          <w:kern w:val="0"/>
          <w:sz w:val="32"/>
          <w:szCs w:val="32"/>
          <w:lang w:val="en-US" w:eastAsia="zh-CN"/>
        </w:rPr>
        <w:t>100</w:t>
      </w:r>
      <w:r>
        <w:rPr>
          <w:rFonts w:hint="eastAsia" w:ascii="仿宋" w:hAnsi="仿宋" w:eastAsia="仿宋" w:cs="仿宋"/>
          <w:kern w:val="0"/>
          <w:sz w:val="32"/>
          <w:szCs w:val="32"/>
        </w:rPr>
        <w:t>%，主要原因</w:t>
      </w:r>
      <w:r>
        <w:rPr>
          <w:rFonts w:hint="eastAsia" w:ascii="仿宋" w:hAnsi="仿宋" w:eastAsia="仿宋" w:cs="仿宋"/>
          <w:kern w:val="0"/>
          <w:sz w:val="32"/>
          <w:szCs w:val="32"/>
          <w:lang w:eastAsia="zh-CN"/>
        </w:rPr>
        <w:t>：上年没有预算公务接待费，</w:t>
      </w:r>
      <w:r>
        <w:rPr>
          <w:rFonts w:hint="eastAsia" w:ascii="仿宋" w:hAnsi="仿宋" w:eastAsia="仿宋" w:cs="仿宋"/>
          <w:kern w:val="0"/>
          <w:sz w:val="32"/>
          <w:szCs w:val="32"/>
        </w:rPr>
        <w:t>本年度</w:t>
      </w:r>
      <w:r>
        <w:rPr>
          <w:rFonts w:hint="eastAsia" w:ascii="仿宋" w:hAnsi="仿宋" w:eastAsia="仿宋" w:cs="仿宋"/>
          <w:kern w:val="0"/>
          <w:sz w:val="32"/>
          <w:szCs w:val="32"/>
          <w:lang w:eastAsia="zh-CN"/>
        </w:rPr>
        <w:t>因工作需要</w:t>
      </w:r>
      <w:r>
        <w:rPr>
          <w:rFonts w:hint="eastAsia" w:ascii="仿宋" w:hAnsi="仿宋" w:eastAsia="仿宋" w:cs="仿宋"/>
          <w:kern w:val="0"/>
          <w:sz w:val="32"/>
          <w:szCs w:val="32"/>
        </w:rPr>
        <w:t>安排的项目</w:t>
      </w:r>
      <w:r>
        <w:rPr>
          <w:rFonts w:hint="eastAsia" w:ascii="仿宋" w:hAnsi="仿宋" w:eastAsia="仿宋" w:cs="仿宋"/>
          <w:kern w:val="0"/>
          <w:sz w:val="32"/>
          <w:szCs w:val="32"/>
          <w:lang w:eastAsia="zh-CN"/>
        </w:rPr>
        <w:t>较</w:t>
      </w:r>
      <w:r>
        <w:rPr>
          <w:rFonts w:hint="eastAsia" w:ascii="仿宋" w:hAnsi="仿宋" w:eastAsia="仿宋" w:cs="仿宋"/>
          <w:kern w:val="0"/>
          <w:sz w:val="32"/>
          <w:szCs w:val="32"/>
        </w:rPr>
        <w:t>多</w:t>
      </w:r>
      <w:r>
        <w:rPr>
          <w:rFonts w:hint="eastAsia" w:ascii="仿宋" w:hAnsi="仿宋" w:eastAsia="仿宋" w:cs="仿宋"/>
          <w:kern w:val="0"/>
          <w:sz w:val="32"/>
          <w:szCs w:val="32"/>
          <w:lang w:eastAsia="zh-CN"/>
        </w:rPr>
        <w:t>，业务量大，接受上级部门的检查也多，从而预算增加了公务接待费用。</w:t>
      </w:r>
    </w:p>
    <w:p>
      <w:pPr>
        <w:keepNext w:val="0"/>
        <w:keepLines w:val="0"/>
        <w:pageBreakBefore w:val="0"/>
        <w:widowControl w:val="0"/>
        <w:kinsoku/>
        <w:wordWrap/>
        <w:overflowPunct/>
        <w:topLinePunct w:val="0"/>
        <w:autoSpaceDE w:val="0"/>
        <w:autoSpaceDN w:val="0"/>
        <w:bidi w:val="0"/>
        <w:adjustRightInd w:val="0"/>
        <w:snapToGrid/>
        <w:spacing w:line="600" w:lineRule="exact"/>
        <w:ind w:right="0" w:rightChars="0"/>
        <w:jc w:val="left"/>
        <w:textAlignment w:val="auto"/>
        <w:outlineLvl w:val="9"/>
        <w:rPr>
          <w:rFonts w:ascii="黑体" w:eastAsia="黑体" w:cs="黑体"/>
          <w:kern w:val="0"/>
          <w:sz w:val="32"/>
          <w:szCs w:val="32"/>
        </w:rPr>
      </w:pPr>
      <w:r>
        <w:rPr>
          <w:rFonts w:hint="eastAsia" w:ascii="黑体" w:eastAsia="黑体" w:cs="黑体"/>
          <w:kern w:val="0"/>
          <w:sz w:val="32"/>
          <w:szCs w:val="32"/>
        </w:rPr>
        <w:t xml:space="preserve">    十、其他重要事项的情况说明</w:t>
      </w:r>
    </w:p>
    <w:p>
      <w:pPr>
        <w:keepNext w:val="0"/>
        <w:keepLines w:val="0"/>
        <w:pageBreakBefore w:val="0"/>
        <w:widowControl w:val="0"/>
        <w:kinsoku/>
        <w:wordWrap/>
        <w:overflowPunct/>
        <w:topLinePunct w:val="0"/>
        <w:autoSpaceDE w:val="0"/>
        <w:autoSpaceDN w:val="0"/>
        <w:bidi w:val="0"/>
        <w:adjustRightInd w:val="0"/>
        <w:snapToGrid/>
        <w:spacing w:line="600" w:lineRule="exact"/>
        <w:ind w:right="0" w:rightChars="0"/>
        <w:jc w:val="left"/>
        <w:textAlignment w:val="auto"/>
        <w:outlineLvl w:val="9"/>
        <w:rPr>
          <w:rFonts w:hint="eastAsia" w:ascii="仿宋" w:hAnsi="仿宋" w:eastAsia="仿宋" w:cs="仿宋"/>
          <w:kern w:val="0"/>
          <w:sz w:val="32"/>
          <w:szCs w:val="32"/>
        </w:rPr>
      </w:pPr>
      <w:r>
        <w:rPr>
          <w:rFonts w:hint="eastAsia" w:ascii="楷体" w:eastAsia="楷体" w:cs="楷体"/>
          <w:kern w:val="0"/>
          <w:sz w:val="32"/>
          <w:szCs w:val="32"/>
        </w:rPr>
        <w:t xml:space="preserve">   </w:t>
      </w:r>
      <w:r>
        <w:rPr>
          <w:rFonts w:hint="eastAsia" w:cs="楷体" w:asciiTheme="minorEastAsia" w:hAnsiTheme="minorEastAsia" w:eastAsiaTheme="minorEastAsia"/>
          <w:kern w:val="0"/>
          <w:sz w:val="32"/>
          <w:szCs w:val="32"/>
        </w:rPr>
        <w:t xml:space="preserve"> </w:t>
      </w:r>
      <w:r>
        <w:rPr>
          <w:rFonts w:hint="eastAsia" w:ascii="仿宋" w:hAnsi="仿宋" w:eastAsia="仿宋" w:cs="仿宋"/>
          <w:kern w:val="0"/>
          <w:sz w:val="32"/>
          <w:szCs w:val="32"/>
        </w:rPr>
        <w:t>（一）机关运行经费支出情况</w:t>
      </w:r>
    </w:p>
    <w:p>
      <w:pPr>
        <w:keepNext w:val="0"/>
        <w:keepLines w:val="0"/>
        <w:pageBreakBefore w:val="0"/>
        <w:widowControl w:val="0"/>
        <w:kinsoku/>
        <w:wordWrap/>
        <w:overflowPunct/>
        <w:topLinePunct w:val="0"/>
        <w:autoSpaceDE w:val="0"/>
        <w:autoSpaceDN w:val="0"/>
        <w:bidi w:val="0"/>
        <w:adjustRightInd w:val="0"/>
        <w:snapToGrid/>
        <w:spacing w:line="600" w:lineRule="exact"/>
        <w:ind w:right="0" w:rightChars="0"/>
        <w:jc w:val="left"/>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 xml:space="preserve">    </w:t>
      </w:r>
      <w:r>
        <w:rPr>
          <w:rFonts w:hint="eastAsia" w:ascii="仿宋" w:hAnsi="仿宋" w:eastAsia="仿宋" w:cs="仿宋"/>
          <w:kern w:val="0"/>
          <w:sz w:val="32"/>
          <w:szCs w:val="32"/>
          <w:lang w:eastAsia="zh-CN"/>
        </w:rPr>
        <w:t>老干部局</w:t>
      </w:r>
      <w:r>
        <w:rPr>
          <w:rFonts w:hint="eastAsia" w:ascii="仿宋" w:hAnsi="仿宋" w:eastAsia="仿宋" w:cs="仿宋"/>
          <w:kern w:val="0"/>
          <w:sz w:val="32"/>
          <w:szCs w:val="32"/>
        </w:rPr>
        <w:t>2018年机关运行经费支出预算</w:t>
      </w:r>
      <w:r>
        <w:rPr>
          <w:rFonts w:hint="eastAsia" w:ascii="仿宋" w:hAnsi="仿宋" w:eastAsia="仿宋" w:cs="仿宋"/>
          <w:kern w:val="0"/>
          <w:sz w:val="32"/>
          <w:szCs w:val="32"/>
          <w:lang w:val="en-US" w:eastAsia="zh-CN"/>
        </w:rPr>
        <w:t>13.5</w:t>
      </w:r>
      <w:r>
        <w:rPr>
          <w:rFonts w:hint="eastAsia" w:ascii="仿宋" w:hAnsi="仿宋" w:eastAsia="仿宋" w:cs="仿宋"/>
          <w:kern w:val="0"/>
          <w:sz w:val="32"/>
          <w:szCs w:val="32"/>
        </w:rPr>
        <w:t>万元，主要保障机关正常运转及正常履职需要。比2017年增加</w:t>
      </w:r>
      <w:r>
        <w:rPr>
          <w:rFonts w:hint="eastAsia" w:ascii="仿宋" w:hAnsi="仿宋" w:eastAsia="仿宋" w:cs="仿宋"/>
          <w:kern w:val="0"/>
          <w:sz w:val="32"/>
          <w:szCs w:val="32"/>
          <w:lang w:val="en-US" w:eastAsia="zh-CN"/>
        </w:rPr>
        <w:t>0.6</w:t>
      </w:r>
      <w:r>
        <w:rPr>
          <w:rFonts w:hint="eastAsia" w:ascii="仿宋" w:hAnsi="仿宋" w:eastAsia="仿宋" w:cs="仿宋"/>
          <w:kern w:val="0"/>
          <w:sz w:val="32"/>
          <w:szCs w:val="32"/>
        </w:rPr>
        <w:t>万元，较上年</w:t>
      </w:r>
      <w:r>
        <w:rPr>
          <w:rFonts w:hint="eastAsia" w:ascii="仿宋" w:hAnsi="仿宋" w:eastAsia="仿宋" w:cs="仿宋"/>
          <w:kern w:val="0"/>
          <w:sz w:val="32"/>
          <w:szCs w:val="32"/>
          <w:lang w:eastAsia="zh-CN"/>
        </w:rPr>
        <w:t>增长</w:t>
      </w:r>
      <w:r>
        <w:rPr>
          <w:rFonts w:hint="eastAsia" w:ascii="仿宋" w:hAnsi="仿宋" w:eastAsia="仿宋" w:cs="仿宋"/>
          <w:kern w:val="0"/>
          <w:sz w:val="32"/>
          <w:szCs w:val="32"/>
          <w:lang w:val="en-US" w:eastAsia="zh-CN"/>
        </w:rPr>
        <w:t>4.6</w:t>
      </w:r>
      <w:r>
        <w:rPr>
          <w:rFonts w:hint="eastAsia" w:ascii="仿宋" w:hAnsi="仿宋" w:eastAsia="仿宋" w:cs="仿宋"/>
          <w:kern w:val="0"/>
          <w:sz w:val="32"/>
          <w:szCs w:val="32"/>
        </w:rPr>
        <w:t>%，主要原因</w:t>
      </w:r>
      <w:r>
        <w:rPr>
          <w:rFonts w:hint="eastAsia" w:ascii="仿宋" w:hAnsi="仿宋" w:eastAsia="仿宋" w:cs="仿宋"/>
          <w:kern w:val="0"/>
          <w:sz w:val="32"/>
          <w:szCs w:val="32"/>
          <w:lang w:eastAsia="zh-CN"/>
        </w:rPr>
        <w:t>：上年没有预算公务接待费，本年度因工作需要</w:t>
      </w:r>
      <w:r>
        <w:rPr>
          <w:rFonts w:hint="eastAsia" w:ascii="仿宋" w:hAnsi="仿宋" w:eastAsia="仿宋" w:cs="仿宋"/>
          <w:kern w:val="0"/>
          <w:sz w:val="32"/>
          <w:szCs w:val="32"/>
        </w:rPr>
        <w:t>安排的项目</w:t>
      </w:r>
      <w:r>
        <w:rPr>
          <w:rFonts w:hint="eastAsia" w:ascii="仿宋" w:hAnsi="仿宋" w:eastAsia="仿宋" w:cs="仿宋"/>
          <w:kern w:val="0"/>
          <w:sz w:val="32"/>
          <w:szCs w:val="32"/>
          <w:lang w:eastAsia="zh-CN"/>
        </w:rPr>
        <w:t>较</w:t>
      </w:r>
      <w:r>
        <w:rPr>
          <w:rFonts w:hint="eastAsia" w:ascii="仿宋" w:hAnsi="仿宋" w:eastAsia="仿宋" w:cs="仿宋"/>
          <w:kern w:val="0"/>
          <w:sz w:val="32"/>
          <w:szCs w:val="32"/>
        </w:rPr>
        <w:t>多</w:t>
      </w:r>
      <w:r>
        <w:rPr>
          <w:rFonts w:hint="eastAsia" w:ascii="仿宋" w:hAnsi="仿宋" w:eastAsia="仿宋" w:cs="仿宋"/>
          <w:kern w:val="0"/>
          <w:sz w:val="32"/>
          <w:szCs w:val="32"/>
          <w:lang w:eastAsia="zh-CN"/>
        </w:rPr>
        <w:t>，业务量大，接受上级部门的检查也多，从而预算增加了公务接待费。</w:t>
      </w:r>
    </w:p>
    <w:p>
      <w:pPr>
        <w:keepNext w:val="0"/>
        <w:keepLines w:val="0"/>
        <w:pageBreakBefore w:val="0"/>
        <w:widowControl w:val="0"/>
        <w:kinsoku/>
        <w:wordWrap/>
        <w:overflowPunct/>
        <w:topLinePunct w:val="0"/>
        <w:autoSpaceDE w:val="0"/>
        <w:autoSpaceDN w:val="0"/>
        <w:bidi w:val="0"/>
        <w:adjustRightInd w:val="0"/>
        <w:snapToGrid/>
        <w:spacing w:line="600" w:lineRule="exact"/>
        <w:ind w:right="0" w:rightChars="0"/>
        <w:jc w:val="left"/>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 xml:space="preserve">    （二）政府采购支出情况</w:t>
      </w:r>
    </w:p>
    <w:p>
      <w:pPr>
        <w:keepNext w:val="0"/>
        <w:keepLines w:val="0"/>
        <w:pageBreakBefore w:val="0"/>
        <w:widowControl w:val="0"/>
        <w:kinsoku/>
        <w:wordWrap/>
        <w:overflowPunct/>
        <w:topLinePunct w:val="0"/>
        <w:autoSpaceDE w:val="0"/>
        <w:autoSpaceDN w:val="0"/>
        <w:bidi w:val="0"/>
        <w:adjustRightInd w:val="0"/>
        <w:snapToGrid/>
        <w:spacing w:line="600" w:lineRule="exact"/>
        <w:ind w:right="0" w:rightChars="0"/>
        <w:jc w:val="left"/>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 xml:space="preserve">    2018年政府采购预算安排</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万元，其中：政府采购货物预算</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万元</w:t>
      </w:r>
      <w:r>
        <w:rPr>
          <w:rFonts w:hint="eastAsia" w:ascii="仿宋" w:hAnsi="仿宋" w:eastAsia="仿宋" w:cs="仿宋"/>
          <w:kern w:val="0"/>
          <w:sz w:val="32"/>
          <w:szCs w:val="32"/>
          <w:lang w:eastAsia="zh-CN"/>
        </w:rPr>
        <w:t>。</w:t>
      </w:r>
    </w:p>
    <w:p>
      <w:pPr>
        <w:autoSpaceDE w:val="0"/>
        <w:autoSpaceDN w:val="0"/>
        <w:adjustRightInd w:val="0"/>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w:t>
      </w:r>
      <w:r>
        <w:rPr>
          <w:rFonts w:hint="eastAsia" w:ascii="仿宋" w:hAnsi="仿宋" w:eastAsia="仿宋" w:cs="仿宋"/>
          <w:kern w:val="0"/>
          <w:sz w:val="32"/>
          <w:szCs w:val="32"/>
          <w:lang w:eastAsia="zh-CN"/>
        </w:rPr>
        <w:t>三</w:t>
      </w:r>
      <w:r>
        <w:rPr>
          <w:rFonts w:hint="eastAsia" w:ascii="仿宋" w:hAnsi="仿宋" w:eastAsia="仿宋" w:cs="仿宋"/>
          <w:kern w:val="0"/>
          <w:sz w:val="32"/>
          <w:szCs w:val="32"/>
        </w:rPr>
        <w:t>）关于预算绩效管理工作开展情况说明</w:t>
      </w:r>
    </w:p>
    <w:p>
      <w:pPr>
        <w:widowControl/>
        <w:spacing w:line="59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 xml:space="preserve"> 201</w:t>
      </w:r>
      <w:r>
        <w:rPr>
          <w:rFonts w:hint="eastAsia" w:ascii="仿宋" w:hAnsi="仿宋" w:eastAsia="仿宋" w:cs="仿宋"/>
          <w:kern w:val="0"/>
          <w:sz w:val="32"/>
          <w:szCs w:val="32"/>
          <w:lang w:val="en-US" w:eastAsia="zh-CN"/>
        </w:rPr>
        <w:t>7</w:t>
      </w:r>
      <w:r>
        <w:rPr>
          <w:rFonts w:hint="eastAsia" w:ascii="仿宋" w:hAnsi="仿宋" w:eastAsia="仿宋" w:cs="仿宋"/>
          <w:kern w:val="0"/>
          <w:sz w:val="32"/>
          <w:szCs w:val="32"/>
        </w:rPr>
        <w:t>年，我单位</w:t>
      </w:r>
      <w:r>
        <w:rPr>
          <w:rFonts w:hint="eastAsia" w:ascii="仿宋" w:hAnsi="仿宋" w:eastAsia="仿宋" w:cs="仿宋"/>
          <w:kern w:val="0"/>
          <w:sz w:val="32"/>
          <w:szCs w:val="32"/>
          <w:lang w:eastAsia="zh-CN"/>
        </w:rPr>
        <w:t>认真开展预算绩效管理</w:t>
      </w:r>
      <w:r>
        <w:rPr>
          <w:rFonts w:hint="eastAsia" w:ascii="仿宋" w:hAnsi="仿宋" w:eastAsia="仿宋" w:cs="仿宋"/>
          <w:kern w:val="0"/>
          <w:sz w:val="32"/>
          <w:szCs w:val="32"/>
        </w:rPr>
        <w:t>工作</w:t>
      </w:r>
      <w:r>
        <w:rPr>
          <w:rFonts w:hint="eastAsia" w:ascii="仿宋" w:hAnsi="仿宋" w:eastAsia="仿宋" w:cs="仿宋"/>
          <w:kern w:val="0"/>
          <w:sz w:val="32"/>
          <w:szCs w:val="32"/>
          <w:lang w:eastAsia="zh-CN"/>
        </w:rPr>
        <w:t>，提高财政资金使用效率，达到了更好的社会效果</w:t>
      </w:r>
      <w:r>
        <w:rPr>
          <w:rFonts w:hint="eastAsia" w:ascii="仿宋" w:hAnsi="仿宋" w:eastAsia="仿宋" w:cs="仿宋"/>
          <w:kern w:val="0"/>
          <w:sz w:val="32"/>
          <w:szCs w:val="32"/>
        </w:rPr>
        <w:t>。</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1、切实落实离休干部的“两个待遇”工作，暨老干部的生活待遇</w:t>
      </w:r>
      <w:r>
        <w:rPr>
          <w:rFonts w:hint="eastAsia" w:ascii="仿宋_GB2312" w:hAnsi="仿宋_GB2312" w:eastAsia="仿宋_GB2312" w:cs="仿宋_GB2312"/>
          <w:sz w:val="32"/>
          <w:szCs w:val="32"/>
          <w:lang w:eastAsia="zh-CN"/>
        </w:rPr>
        <w:t>和政治待遇</w:t>
      </w:r>
      <w:r>
        <w:rPr>
          <w:rFonts w:hint="eastAsia" w:ascii="仿宋_GB2312" w:hAnsi="仿宋_GB2312" w:eastAsia="仿宋_GB2312" w:cs="仿宋_GB2312"/>
          <w:sz w:val="32"/>
          <w:szCs w:val="32"/>
        </w:rPr>
        <w:t>。我们定期组织召开全县离退休干部代表座谈会，了解老干部的所想、所愿、所盼。</w:t>
      </w:r>
    </w:p>
    <w:p>
      <w:pPr>
        <w:widowControl/>
        <w:spacing w:line="590" w:lineRule="exact"/>
        <w:ind w:firstLine="800" w:firstLineChars="250"/>
        <w:rPr>
          <w:rFonts w:hint="eastAsia" w:ascii="仿宋_GB2312" w:hAnsi="仿宋_GB2312" w:eastAsia="仿宋_GB2312" w:cs="仿宋_GB2312"/>
          <w:sz w:val="32"/>
          <w:szCs w:val="32"/>
        </w:rPr>
      </w:pPr>
      <w:r>
        <w:rPr>
          <w:rFonts w:hint="default" w:ascii="仿宋_GB2312" w:hAnsi="仿宋_GB2312" w:eastAsia="仿宋_GB2312" w:cs="仿宋_GB2312"/>
          <w:sz w:val="32"/>
          <w:szCs w:val="32"/>
          <w:lang w:val="en-US"/>
        </w:rPr>
        <w:t>2.</w:t>
      </w:r>
      <w:r>
        <w:rPr>
          <w:rFonts w:hint="eastAsia" w:ascii="仿宋_GB2312" w:hAnsi="仿宋_GB2312" w:eastAsia="仿宋_GB2312" w:cs="仿宋_GB2312"/>
          <w:sz w:val="32"/>
          <w:szCs w:val="32"/>
          <w:lang w:val="en-US" w:eastAsia="zh-CN"/>
        </w:rPr>
        <w:t>为保障老干部的生活待遇</w:t>
      </w:r>
      <w:r>
        <w:rPr>
          <w:rFonts w:hint="eastAsia" w:ascii="仿宋_GB2312" w:hAnsi="仿宋_GB2312" w:eastAsia="仿宋_GB2312" w:cs="仿宋_GB2312"/>
          <w:sz w:val="32"/>
          <w:szCs w:val="32"/>
        </w:rPr>
        <w:t>，老干部的离休费得到了足额发放，医药费及时报销，使老干部看病难问题得到解决。另外对离休干部和副处级以上老领导</w:t>
      </w:r>
      <w:r>
        <w:rPr>
          <w:rFonts w:hint="eastAsia" w:ascii="仿宋_GB2312" w:hAnsi="仿宋_GB2312" w:eastAsia="仿宋_GB2312" w:cs="仿宋_GB2312"/>
          <w:sz w:val="32"/>
          <w:szCs w:val="32"/>
          <w:lang w:eastAsia="zh-CN"/>
        </w:rPr>
        <w:t>全县共</w:t>
      </w:r>
      <w:r>
        <w:rPr>
          <w:rFonts w:hint="eastAsia" w:ascii="仿宋_GB2312" w:hAnsi="仿宋_GB2312" w:eastAsia="仿宋_GB2312" w:cs="仿宋_GB2312"/>
          <w:sz w:val="32"/>
          <w:szCs w:val="32"/>
          <w:lang w:val="en-US" w:eastAsia="zh-CN"/>
        </w:rPr>
        <w:t>138位离休干部，26位县处级领导干部</w:t>
      </w:r>
      <w:r>
        <w:rPr>
          <w:rFonts w:hint="eastAsia" w:ascii="仿宋_GB2312" w:hAnsi="仿宋_GB2312" w:eastAsia="仿宋_GB2312" w:cs="仿宋_GB2312"/>
          <w:sz w:val="32"/>
          <w:szCs w:val="32"/>
        </w:rPr>
        <w:t>进行一次全面体检，</w:t>
      </w:r>
      <w:r>
        <w:rPr>
          <w:rFonts w:hint="eastAsia" w:ascii="仿宋_GB2312" w:hAnsi="仿宋_GB2312" w:eastAsia="仿宋_GB2312" w:cs="仿宋_GB2312"/>
          <w:sz w:val="32"/>
          <w:szCs w:val="32"/>
          <w:lang w:eastAsia="zh-CN"/>
        </w:rPr>
        <w:t>共花费体检费用</w:t>
      </w:r>
      <w:r>
        <w:rPr>
          <w:rFonts w:hint="eastAsia" w:ascii="仿宋_GB2312" w:hAnsi="仿宋_GB2312" w:eastAsia="仿宋_GB2312" w:cs="仿宋_GB2312"/>
          <w:sz w:val="32"/>
          <w:szCs w:val="32"/>
          <w:lang w:val="en-US" w:eastAsia="zh-CN"/>
        </w:rPr>
        <w:t>12万元，离休老干部的药费全年支出共计1100.0万元切实保障了老干部的看病就医问题，</w:t>
      </w:r>
      <w:r>
        <w:rPr>
          <w:rFonts w:hint="eastAsia" w:ascii="仿宋_GB2312" w:hAnsi="仿宋_GB2312" w:eastAsia="仿宋_GB2312" w:cs="仿宋_GB2312"/>
          <w:sz w:val="32"/>
          <w:szCs w:val="32"/>
        </w:rPr>
        <w:t>做到有病早治，无病预防</w:t>
      </w:r>
      <w:r>
        <w:rPr>
          <w:rFonts w:hint="eastAsia" w:ascii="仿宋_GB2312" w:hAnsi="仿宋_GB2312" w:eastAsia="仿宋_GB2312" w:cs="仿宋_GB2312"/>
          <w:sz w:val="32"/>
          <w:szCs w:val="32"/>
          <w:lang w:eastAsia="zh-CN"/>
        </w:rPr>
        <w:t>，确保了老干部身心健康。</w:t>
      </w:r>
    </w:p>
    <w:p>
      <w:pPr>
        <w:keepNext w:val="0"/>
        <w:keepLines w:val="0"/>
        <w:pageBreakBefore w:val="0"/>
        <w:widowControl w:val="0"/>
        <w:kinsoku/>
        <w:wordWrap/>
        <w:overflowPunct/>
        <w:topLinePunct w:val="0"/>
        <w:autoSpaceDE w:val="0"/>
        <w:autoSpaceDN w:val="0"/>
        <w:bidi w:val="0"/>
        <w:adjustRightInd w:val="0"/>
        <w:snapToGrid/>
        <w:spacing w:line="600" w:lineRule="exact"/>
        <w:ind w:right="0" w:rightChars="0" w:firstLine="320" w:firstLineChars="100"/>
        <w:jc w:val="left"/>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w:t>
      </w:r>
      <w:r>
        <w:rPr>
          <w:rFonts w:hint="eastAsia" w:ascii="仿宋" w:hAnsi="仿宋" w:eastAsia="仿宋" w:cs="仿宋"/>
          <w:kern w:val="0"/>
          <w:sz w:val="32"/>
          <w:szCs w:val="32"/>
          <w:lang w:eastAsia="zh-CN"/>
        </w:rPr>
        <w:t>四</w:t>
      </w:r>
      <w:r>
        <w:rPr>
          <w:rFonts w:hint="eastAsia" w:ascii="仿宋" w:hAnsi="仿宋" w:eastAsia="仿宋" w:cs="仿宋"/>
          <w:kern w:val="0"/>
          <w:sz w:val="32"/>
          <w:szCs w:val="32"/>
        </w:rPr>
        <w:t>）国有资产占用情况</w:t>
      </w:r>
    </w:p>
    <w:p>
      <w:pPr>
        <w:keepNext w:val="0"/>
        <w:keepLines w:val="0"/>
        <w:pageBreakBefore w:val="0"/>
        <w:widowControl w:val="0"/>
        <w:kinsoku/>
        <w:wordWrap/>
        <w:overflowPunct/>
        <w:topLinePunct w:val="0"/>
        <w:autoSpaceDE w:val="0"/>
        <w:autoSpaceDN w:val="0"/>
        <w:bidi w:val="0"/>
        <w:adjustRightInd w:val="0"/>
        <w:snapToGrid/>
        <w:spacing w:line="600" w:lineRule="exact"/>
        <w:ind w:right="0" w:rightChars="0"/>
        <w:jc w:val="left"/>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 xml:space="preserve">    2017年期末，</w:t>
      </w:r>
      <w:r>
        <w:rPr>
          <w:rFonts w:hint="eastAsia" w:ascii="仿宋" w:hAnsi="仿宋" w:eastAsia="仿宋" w:cs="仿宋"/>
          <w:kern w:val="0"/>
          <w:sz w:val="32"/>
          <w:szCs w:val="32"/>
          <w:lang w:eastAsia="zh-CN"/>
        </w:rPr>
        <w:t>老干部局</w:t>
      </w:r>
      <w:r>
        <w:rPr>
          <w:rFonts w:hint="eastAsia" w:ascii="仿宋" w:hAnsi="仿宋" w:eastAsia="仿宋" w:cs="仿宋"/>
          <w:kern w:val="0"/>
          <w:sz w:val="32"/>
          <w:szCs w:val="32"/>
        </w:rPr>
        <w:t>共有车辆</w:t>
      </w:r>
      <w:r>
        <w:rPr>
          <w:rFonts w:hint="eastAsia" w:ascii="仿宋" w:hAnsi="仿宋" w:eastAsia="仿宋" w:cs="仿宋"/>
          <w:kern w:val="0"/>
          <w:sz w:val="32"/>
          <w:szCs w:val="32"/>
          <w:lang w:val="en-US" w:eastAsia="zh-CN"/>
        </w:rPr>
        <w:t>1</w:t>
      </w:r>
      <w:r>
        <w:rPr>
          <w:rFonts w:hint="eastAsia" w:ascii="仿宋" w:hAnsi="仿宋" w:eastAsia="仿宋" w:cs="仿宋"/>
          <w:kern w:val="0"/>
          <w:sz w:val="32"/>
          <w:szCs w:val="32"/>
        </w:rPr>
        <w:t>辆，其中：一般公务用车</w:t>
      </w:r>
      <w:r>
        <w:rPr>
          <w:rFonts w:hint="eastAsia" w:ascii="仿宋" w:hAnsi="仿宋" w:eastAsia="仿宋" w:cs="仿宋"/>
          <w:kern w:val="0"/>
          <w:sz w:val="32"/>
          <w:szCs w:val="32"/>
          <w:lang w:val="en-US" w:eastAsia="zh-CN"/>
        </w:rPr>
        <w:t>1</w:t>
      </w:r>
      <w:r>
        <w:rPr>
          <w:rFonts w:hint="eastAsia" w:ascii="仿宋" w:hAnsi="仿宋" w:eastAsia="仿宋" w:cs="仿宋"/>
          <w:kern w:val="0"/>
          <w:sz w:val="32"/>
          <w:szCs w:val="32"/>
        </w:rPr>
        <w:t>辆</w:t>
      </w:r>
      <w:r>
        <w:rPr>
          <w:rFonts w:hint="eastAsia" w:ascii="仿宋" w:hAnsi="仿宋" w:eastAsia="仿宋" w:cs="仿宋"/>
          <w:kern w:val="0"/>
          <w:sz w:val="32"/>
          <w:szCs w:val="32"/>
          <w:lang w:eastAsia="zh-CN"/>
        </w:rPr>
        <w:t>，执法执勤车</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lang w:eastAsia="zh-CN"/>
        </w:rPr>
        <w:t>辆，其他用车</w:t>
      </w:r>
      <w:r>
        <w:rPr>
          <w:rFonts w:hint="eastAsia" w:ascii="仿宋" w:hAnsi="仿宋" w:eastAsia="仿宋" w:cs="仿宋"/>
          <w:kern w:val="0"/>
          <w:sz w:val="32"/>
          <w:szCs w:val="32"/>
          <w:lang w:val="en-US" w:eastAsia="zh-CN"/>
        </w:rPr>
        <w:t>0辆；单价20万元以上通用设备0台；与县委办合属办公，办公用房属县委办，自有产权办公用房0平方米，业务用房0平方米</w:t>
      </w:r>
      <w:r>
        <w:rPr>
          <w:rFonts w:hint="eastAsia" w:ascii="仿宋" w:hAnsi="仿宋" w:eastAsia="仿宋" w:cs="仿宋"/>
          <w:kern w:val="0"/>
          <w:sz w:val="32"/>
          <w:szCs w:val="32"/>
          <w:lang w:eastAsia="zh-CN"/>
        </w:rPr>
        <w:t>。</w:t>
      </w:r>
    </w:p>
    <w:p>
      <w:pPr>
        <w:numPr>
          <w:ilvl w:val="0"/>
          <w:numId w:val="1"/>
        </w:numPr>
        <w:autoSpaceDE w:val="0"/>
        <w:autoSpaceDN w:val="0"/>
        <w:adjustRightInd w:val="0"/>
        <w:ind w:left="480" w:leftChars="0" w:firstLine="0" w:firstLineChars="0"/>
        <w:jc w:val="left"/>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专项转移支付项目情况</w:t>
      </w:r>
    </w:p>
    <w:p>
      <w:pPr>
        <w:numPr>
          <w:ilvl w:val="0"/>
          <w:numId w:val="0"/>
        </w:numPr>
        <w:autoSpaceDE w:val="0"/>
        <w:autoSpaceDN w:val="0"/>
        <w:adjustRightInd w:val="0"/>
        <w:ind w:firstLine="640" w:firstLineChars="200"/>
        <w:jc w:val="left"/>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老干部局负责管理的专项转移支付项目有0项。我单位将按照《预算法》等有关规定、积极做好项目分配前期准备工作，在规定的时间内向财政部门提出资金分配意见，根据有关要求做好项目申报公开等相关工作。</w:t>
      </w:r>
    </w:p>
    <w:p>
      <w:pPr>
        <w:keepNext w:val="0"/>
        <w:keepLines w:val="0"/>
        <w:pageBreakBefore w:val="0"/>
        <w:widowControl w:val="0"/>
        <w:kinsoku/>
        <w:wordWrap/>
        <w:overflowPunct/>
        <w:topLinePunct w:val="0"/>
        <w:autoSpaceDE w:val="0"/>
        <w:autoSpaceDN w:val="0"/>
        <w:bidi w:val="0"/>
        <w:adjustRightInd w:val="0"/>
        <w:snapToGrid/>
        <w:spacing w:line="600" w:lineRule="exact"/>
        <w:ind w:right="0" w:rightChars="0"/>
        <w:jc w:val="center"/>
        <w:textAlignment w:val="auto"/>
        <w:outlineLvl w:val="9"/>
        <w:rPr>
          <w:rFonts w:hint="eastAsia" w:ascii="宋体" w:cs="宋体"/>
          <w:b/>
          <w:bCs/>
          <w:kern w:val="0"/>
          <w:sz w:val="32"/>
          <w:szCs w:val="32"/>
        </w:rPr>
      </w:pPr>
    </w:p>
    <w:p>
      <w:pPr>
        <w:keepNext w:val="0"/>
        <w:keepLines w:val="0"/>
        <w:pageBreakBefore w:val="0"/>
        <w:widowControl w:val="0"/>
        <w:kinsoku/>
        <w:wordWrap/>
        <w:overflowPunct/>
        <w:topLinePunct w:val="0"/>
        <w:autoSpaceDE w:val="0"/>
        <w:autoSpaceDN w:val="0"/>
        <w:bidi w:val="0"/>
        <w:adjustRightInd w:val="0"/>
        <w:snapToGrid/>
        <w:spacing w:line="600" w:lineRule="exact"/>
        <w:ind w:right="0" w:rightChars="0"/>
        <w:jc w:val="center"/>
        <w:textAlignment w:val="auto"/>
        <w:outlineLvl w:val="9"/>
        <w:rPr>
          <w:rFonts w:ascii="宋体" w:cs="宋体"/>
          <w:b/>
          <w:bCs/>
          <w:kern w:val="0"/>
          <w:sz w:val="32"/>
          <w:szCs w:val="32"/>
        </w:rPr>
      </w:pPr>
      <w:r>
        <w:rPr>
          <w:rFonts w:hint="eastAsia" w:ascii="宋体" w:cs="宋体"/>
          <w:b/>
          <w:bCs/>
          <w:kern w:val="0"/>
          <w:sz w:val="32"/>
          <w:szCs w:val="32"/>
        </w:rPr>
        <w:t>第三部分</w:t>
      </w:r>
    </w:p>
    <w:p>
      <w:pPr>
        <w:keepNext w:val="0"/>
        <w:keepLines w:val="0"/>
        <w:pageBreakBefore w:val="0"/>
        <w:widowControl w:val="0"/>
        <w:kinsoku/>
        <w:wordWrap/>
        <w:overflowPunct/>
        <w:topLinePunct w:val="0"/>
        <w:autoSpaceDE w:val="0"/>
        <w:autoSpaceDN w:val="0"/>
        <w:bidi w:val="0"/>
        <w:adjustRightInd w:val="0"/>
        <w:snapToGrid/>
        <w:spacing w:line="600" w:lineRule="exact"/>
        <w:ind w:right="0" w:rightChars="0"/>
        <w:jc w:val="center"/>
        <w:textAlignment w:val="auto"/>
        <w:outlineLvl w:val="9"/>
        <w:rPr>
          <w:rFonts w:ascii="宋体" w:cs="宋体"/>
          <w:b/>
          <w:bCs/>
          <w:kern w:val="0"/>
          <w:sz w:val="32"/>
          <w:szCs w:val="32"/>
        </w:rPr>
      </w:pPr>
      <w:r>
        <w:rPr>
          <w:rFonts w:hint="eastAsia" w:ascii="宋体" w:cs="宋体"/>
          <w:b/>
          <w:bCs/>
          <w:kern w:val="0"/>
          <w:sz w:val="32"/>
          <w:szCs w:val="32"/>
        </w:rPr>
        <w:t>名词解释</w:t>
      </w:r>
    </w:p>
    <w:p>
      <w:pPr>
        <w:keepNext w:val="0"/>
        <w:keepLines w:val="0"/>
        <w:pageBreakBefore w:val="0"/>
        <w:widowControl w:val="0"/>
        <w:kinsoku/>
        <w:wordWrap/>
        <w:overflowPunct/>
        <w:topLinePunct w:val="0"/>
        <w:autoSpaceDE w:val="0"/>
        <w:autoSpaceDN w:val="0"/>
        <w:bidi w:val="0"/>
        <w:adjustRightInd w:val="0"/>
        <w:snapToGrid/>
        <w:spacing w:line="600" w:lineRule="exact"/>
        <w:ind w:right="0" w:rightChars="0"/>
        <w:jc w:val="left"/>
        <w:textAlignment w:val="auto"/>
        <w:outlineLvl w:val="9"/>
        <w:rPr>
          <w:rFonts w:hint="eastAsia" w:ascii="仿宋" w:hAnsi="仿宋" w:eastAsia="仿宋" w:cs="仿宋"/>
          <w:kern w:val="0"/>
          <w:sz w:val="32"/>
          <w:szCs w:val="32"/>
        </w:rPr>
      </w:pPr>
      <w:r>
        <w:rPr>
          <w:rFonts w:hint="eastAsia" w:cs="仿宋" w:asciiTheme="minorEastAsia" w:hAnsiTheme="minorEastAsia" w:eastAsiaTheme="minorEastAsia"/>
          <w:kern w:val="0"/>
          <w:sz w:val="32"/>
          <w:szCs w:val="32"/>
        </w:rPr>
        <w:t xml:space="preserve">    </w:t>
      </w:r>
      <w:r>
        <w:rPr>
          <w:rFonts w:hint="eastAsia" w:ascii="仿宋" w:hAnsi="仿宋" w:eastAsia="仿宋" w:cs="仿宋"/>
          <w:kern w:val="0"/>
          <w:sz w:val="32"/>
          <w:szCs w:val="32"/>
        </w:rPr>
        <w:t>一、财政拨款收入：是指县级财政当年拨付的资金。</w:t>
      </w:r>
    </w:p>
    <w:p>
      <w:pPr>
        <w:keepNext w:val="0"/>
        <w:keepLines w:val="0"/>
        <w:pageBreakBefore w:val="0"/>
        <w:widowControl w:val="0"/>
        <w:kinsoku/>
        <w:wordWrap/>
        <w:overflowPunct/>
        <w:topLinePunct w:val="0"/>
        <w:autoSpaceDE w:val="0"/>
        <w:autoSpaceDN w:val="0"/>
        <w:bidi w:val="0"/>
        <w:adjustRightInd w:val="0"/>
        <w:snapToGrid/>
        <w:spacing w:line="600" w:lineRule="exact"/>
        <w:ind w:right="0" w:rightChars="0"/>
        <w:jc w:val="left"/>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 xml:space="preserve">    二、事业收入：是指事业单位开展专业活动及辅助活动所取得的收入。</w:t>
      </w:r>
    </w:p>
    <w:p>
      <w:pPr>
        <w:keepNext w:val="0"/>
        <w:keepLines w:val="0"/>
        <w:pageBreakBefore w:val="0"/>
        <w:widowControl w:val="0"/>
        <w:kinsoku/>
        <w:wordWrap/>
        <w:overflowPunct/>
        <w:topLinePunct w:val="0"/>
        <w:autoSpaceDE w:val="0"/>
        <w:autoSpaceDN w:val="0"/>
        <w:bidi w:val="0"/>
        <w:adjustRightInd w:val="0"/>
        <w:snapToGrid/>
        <w:spacing w:line="600" w:lineRule="exact"/>
        <w:ind w:right="0" w:rightChars="0"/>
        <w:jc w:val="left"/>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 xml:space="preserve">    三、经营收入：是指事业单位在专业活动及其辅助活动之外开展的非独立核算经营活动取得的收入。</w:t>
      </w:r>
    </w:p>
    <w:p>
      <w:pPr>
        <w:keepNext w:val="0"/>
        <w:keepLines w:val="0"/>
        <w:pageBreakBefore w:val="0"/>
        <w:widowControl w:val="0"/>
        <w:kinsoku/>
        <w:wordWrap/>
        <w:overflowPunct/>
        <w:topLinePunct w:val="0"/>
        <w:autoSpaceDE w:val="0"/>
        <w:autoSpaceDN w:val="0"/>
        <w:bidi w:val="0"/>
        <w:adjustRightInd w:val="0"/>
        <w:snapToGrid/>
        <w:spacing w:line="600" w:lineRule="exact"/>
        <w:ind w:right="0" w:rightChars="0"/>
        <w:jc w:val="left"/>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 xml:space="preserve">    四、其他收入：是指部门取得的除“财政拨款”、“事业收入”、“事业单位经营收入”等以外的收入。</w:t>
      </w:r>
    </w:p>
    <w:p>
      <w:pPr>
        <w:keepNext w:val="0"/>
        <w:keepLines w:val="0"/>
        <w:pageBreakBefore w:val="0"/>
        <w:widowControl w:val="0"/>
        <w:kinsoku/>
        <w:wordWrap/>
        <w:overflowPunct/>
        <w:topLinePunct w:val="0"/>
        <w:autoSpaceDE w:val="0"/>
        <w:autoSpaceDN w:val="0"/>
        <w:bidi w:val="0"/>
        <w:adjustRightInd w:val="0"/>
        <w:snapToGrid/>
        <w:spacing w:line="600" w:lineRule="exact"/>
        <w:ind w:right="0" w:rightChars="0"/>
        <w:jc w:val="left"/>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 xml:space="preserve">    五、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keepNext w:val="0"/>
        <w:keepLines w:val="0"/>
        <w:pageBreakBefore w:val="0"/>
        <w:widowControl w:val="0"/>
        <w:kinsoku/>
        <w:wordWrap/>
        <w:overflowPunct/>
        <w:topLinePunct w:val="0"/>
        <w:autoSpaceDE w:val="0"/>
        <w:autoSpaceDN w:val="0"/>
        <w:bidi w:val="0"/>
        <w:adjustRightInd w:val="0"/>
        <w:snapToGrid/>
        <w:spacing w:line="600" w:lineRule="exact"/>
        <w:ind w:right="0" w:rightChars="0"/>
        <w:jc w:val="left"/>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 xml:space="preserve">    六、基本支出：是指为保障机构正常运转、完成日常工作任务所必需的开支，其内容包括人员经费和日常公用经费两部分。</w:t>
      </w:r>
    </w:p>
    <w:p>
      <w:pPr>
        <w:keepNext w:val="0"/>
        <w:keepLines w:val="0"/>
        <w:pageBreakBefore w:val="0"/>
        <w:widowControl w:val="0"/>
        <w:kinsoku/>
        <w:wordWrap/>
        <w:overflowPunct/>
        <w:topLinePunct w:val="0"/>
        <w:autoSpaceDE w:val="0"/>
        <w:autoSpaceDN w:val="0"/>
        <w:bidi w:val="0"/>
        <w:adjustRightInd w:val="0"/>
        <w:snapToGrid/>
        <w:spacing w:line="600" w:lineRule="exact"/>
        <w:ind w:right="0" w:rightChars="0"/>
        <w:jc w:val="left"/>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 xml:space="preserve">    七、项目支出：是指在基本支出之外，为完成特定的行政工作任务或事业发展目标所发生的支出。</w:t>
      </w:r>
    </w:p>
    <w:p>
      <w:pPr>
        <w:keepNext w:val="0"/>
        <w:keepLines w:val="0"/>
        <w:pageBreakBefore w:val="0"/>
        <w:widowControl w:val="0"/>
        <w:kinsoku/>
        <w:wordWrap/>
        <w:overflowPunct/>
        <w:topLinePunct w:val="0"/>
        <w:autoSpaceDE w:val="0"/>
        <w:autoSpaceDN w:val="0"/>
        <w:bidi w:val="0"/>
        <w:adjustRightInd w:val="0"/>
        <w:snapToGrid/>
        <w:spacing w:line="600" w:lineRule="exact"/>
        <w:ind w:right="0" w:rightChars="0"/>
        <w:jc w:val="left"/>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 xml:space="preserve">    八、“三公”经费：是指纳入县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eepNext w:val="0"/>
        <w:keepLines w:val="0"/>
        <w:pageBreakBefore w:val="0"/>
        <w:widowControl w:val="0"/>
        <w:kinsoku/>
        <w:wordWrap/>
        <w:overflowPunct/>
        <w:topLinePunct w:val="0"/>
        <w:autoSpaceDE w:val="0"/>
        <w:autoSpaceDN w:val="0"/>
        <w:bidi w:val="0"/>
        <w:adjustRightInd w:val="0"/>
        <w:snapToGrid/>
        <w:spacing w:line="600" w:lineRule="exact"/>
        <w:ind w:right="0" w:rightChars="0"/>
        <w:jc w:val="left"/>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 xml:space="preserve">    九、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keepNext w:val="0"/>
        <w:keepLines w:val="0"/>
        <w:pageBreakBefore w:val="0"/>
        <w:widowControl w:val="0"/>
        <w:kinsoku/>
        <w:wordWrap/>
        <w:overflowPunct/>
        <w:topLinePunct w:val="0"/>
        <w:bidi w:val="0"/>
        <w:snapToGrid/>
        <w:spacing w:line="600" w:lineRule="exact"/>
        <w:ind w:right="0" w:rightChars="0" w:firstLine="640"/>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附件：</w:t>
      </w:r>
      <w:r>
        <w:rPr>
          <w:rFonts w:hint="eastAsia" w:ascii="仿宋" w:hAnsi="仿宋" w:eastAsia="仿宋" w:cs="仿宋"/>
          <w:kern w:val="0"/>
          <w:sz w:val="32"/>
          <w:szCs w:val="32"/>
          <w:lang w:eastAsia="zh-CN"/>
        </w:rPr>
        <w:t>老干部局</w:t>
      </w:r>
      <w:r>
        <w:rPr>
          <w:rFonts w:hint="eastAsia" w:ascii="仿宋" w:hAnsi="仿宋" w:eastAsia="仿宋" w:cs="仿宋"/>
          <w:kern w:val="0"/>
          <w:sz w:val="32"/>
          <w:szCs w:val="32"/>
        </w:rPr>
        <w:t>2018 年部门预算公开报表</w:t>
      </w:r>
    </w:p>
    <w:p>
      <w:pPr>
        <w:keepNext w:val="0"/>
        <w:keepLines w:val="0"/>
        <w:pageBreakBefore w:val="0"/>
        <w:widowControl w:val="0"/>
        <w:kinsoku/>
        <w:wordWrap/>
        <w:overflowPunct/>
        <w:topLinePunct w:val="0"/>
        <w:bidi w:val="0"/>
        <w:snapToGrid/>
        <w:spacing w:line="600" w:lineRule="exact"/>
        <w:ind w:right="0" w:rightChars="0" w:firstLine="640"/>
        <w:textAlignment w:val="auto"/>
        <w:outlineLvl w:val="9"/>
        <w:rPr>
          <w:rFonts w:hint="eastAsia" w:ascii="仿宋" w:hAnsi="仿宋" w:eastAsia="仿宋" w:cs="仿宋"/>
          <w:kern w:val="0"/>
          <w:sz w:val="32"/>
          <w:szCs w:val="32"/>
        </w:rPr>
      </w:pPr>
    </w:p>
    <w:p>
      <w:pPr>
        <w:keepNext w:val="0"/>
        <w:keepLines w:val="0"/>
        <w:pageBreakBefore w:val="0"/>
        <w:widowControl w:val="0"/>
        <w:kinsoku/>
        <w:wordWrap/>
        <w:overflowPunct/>
        <w:topLinePunct w:val="0"/>
        <w:bidi w:val="0"/>
        <w:snapToGrid/>
        <w:spacing w:line="600" w:lineRule="exact"/>
        <w:ind w:right="0" w:rightChars="0"/>
        <w:jc w:val="right"/>
        <w:textAlignment w:val="auto"/>
        <w:outlineLvl w:val="9"/>
        <w:rPr>
          <w:rFonts w:hint="eastAsia" w:ascii="仿宋" w:hAnsi="仿宋" w:eastAsia="仿宋" w:cs="仿宋"/>
        </w:rPr>
      </w:pPr>
      <w:r>
        <w:rPr>
          <w:rFonts w:hint="eastAsia" w:cs="宋体" w:asciiTheme="minorEastAsia" w:hAnsiTheme="minorEastAsia" w:eastAsiaTheme="minorEastAsia"/>
          <w:kern w:val="0"/>
          <w:sz w:val="32"/>
          <w:szCs w:val="32"/>
        </w:rPr>
        <w:t xml:space="preserve">                         </w:t>
      </w:r>
      <w:r>
        <w:rPr>
          <w:rFonts w:hint="eastAsia" w:ascii="仿宋" w:hAnsi="仿宋" w:eastAsia="仿宋" w:cs="仿宋"/>
          <w:kern w:val="0"/>
          <w:sz w:val="32"/>
          <w:szCs w:val="32"/>
        </w:rPr>
        <w:t xml:space="preserve"> 2018 年</w:t>
      </w:r>
      <w:r>
        <w:rPr>
          <w:rFonts w:hint="eastAsia" w:ascii="仿宋" w:hAnsi="仿宋" w:eastAsia="仿宋" w:cs="仿宋"/>
          <w:kern w:val="0"/>
          <w:sz w:val="32"/>
          <w:szCs w:val="32"/>
          <w:lang w:val="en-US" w:eastAsia="zh-CN"/>
        </w:rPr>
        <w:t>1</w:t>
      </w:r>
      <w:r>
        <w:rPr>
          <w:rFonts w:hint="eastAsia" w:ascii="仿宋" w:hAnsi="仿宋" w:eastAsia="仿宋" w:cs="仿宋"/>
          <w:kern w:val="0"/>
          <w:sz w:val="32"/>
          <w:szCs w:val="32"/>
        </w:rPr>
        <w:t>月</w:t>
      </w:r>
      <w:r>
        <w:rPr>
          <w:rFonts w:hint="eastAsia" w:ascii="仿宋" w:hAnsi="仿宋" w:eastAsia="仿宋" w:cs="仿宋"/>
          <w:kern w:val="0"/>
          <w:sz w:val="32"/>
          <w:szCs w:val="32"/>
          <w:lang w:val="en-US" w:eastAsia="zh-CN"/>
        </w:rPr>
        <w:t>21</w:t>
      </w:r>
      <w:r>
        <w:rPr>
          <w:rFonts w:hint="eastAsia" w:ascii="仿宋" w:hAnsi="仿宋" w:eastAsia="仿宋" w:cs="仿宋"/>
          <w:kern w:val="0"/>
          <w:sz w:val="32"/>
          <w:szCs w:val="32"/>
        </w:rPr>
        <w:t>日</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YaHei">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C58C32"/>
    <w:multiLevelType w:val="singleLevel"/>
    <w:tmpl w:val="62C58C32"/>
    <w:lvl w:ilvl="0" w:tentative="0">
      <w:start w:val="5"/>
      <w:numFmt w:val="chineseCounting"/>
      <w:suff w:val="nothing"/>
      <w:lvlText w:val="（%1）"/>
      <w:lvlJc w:val="left"/>
      <w:pPr>
        <w:ind w:left="480"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DF4FFC"/>
    <w:rsid w:val="00003F2A"/>
    <w:rsid w:val="000073F4"/>
    <w:rsid w:val="00014961"/>
    <w:rsid w:val="00015FE5"/>
    <w:rsid w:val="00016750"/>
    <w:rsid w:val="00017383"/>
    <w:rsid w:val="000218F3"/>
    <w:rsid w:val="00027D86"/>
    <w:rsid w:val="00032D76"/>
    <w:rsid w:val="00033BB4"/>
    <w:rsid w:val="00041267"/>
    <w:rsid w:val="00044916"/>
    <w:rsid w:val="00045B0B"/>
    <w:rsid w:val="000464C5"/>
    <w:rsid w:val="00047748"/>
    <w:rsid w:val="00050997"/>
    <w:rsid w:val="00050D7D"/>
    <w:rsid w:val="00051480"/>
    <w:rsid w:val="000516DA"/>
    <w:rsid w:val="00051CF5"/>
    <w:rsid w:val="00055693"/>
    <w:rsid w:val="00055C17"/>
    <w:rsid w:val="00061BBA"/>
    <w:rsid w:val="00062EE5"/>
    <w:rsid w:val="0006600B"/>
    <w:rsid w:val="0007168B"/>
    <w:rsid w:val="0007293F"/>
    <w:rsid w:val="00074091"/>
    <w:rsid w:val="00083B48"/>
    <w:rsid w:val="00086020"/>
    <w:rsid w:val="000861A7"/>
    <w:rsid w:val="00090158"/>
    <w:rsid w:val="000A5283"/>
    <w:rsid w:val="000A5D58"/>
    <w:rsid w:val="000B0942"/>
    <w:rsid w:val="000B12EC"/>
    <w:rsid w:val="000B233B"/>
    <w:rsid w:val="000B284F"/>
    <w:rsid w:val="000B2A90"/>
    <w:rsid w:val="000B3A4D"/>
    <w:rsid w:val="000B41D2"/>
    <w:rsid w:val="000B7632"/>
    <w:rsid w:val="000C04E0"/>
    <w:rsid w:val="000C496A"/>
    <w:rsid w:val="000C5818"/>
    <w:rsid w:val="000D0AD2"/>
    <w:rsid w:val="000D509E"/>
    <w:rsid w:val="000D5901"/>
    <w:rsid w:val="000E08F2"/>
    <w:rsid w:val="000E1647"/>
    <w:rsid w:val="000E1889"/>
    <w:rsid w:val="000E3685"/>
    <w:rsid w:val="000E4887"/>
    <w:rsid w:val="000E4DC7"/>
    <w:rsid w:val="000E7E6D"/>
    <w:rsid w:val="000F1A14"/>
    <w:rsid w:val="000F48FD"/>
    <w:rsid w:val="000F7655"/>
    <w:rsid w:val="00100DCA"/>
    <w:rsid w:val="00101F3D"/>
    <w:rsid w:val="001214EB"/>
    <w:rsid w:val="001225EA"/>
    <w:rsid w:val="0012314B"/>
    <w:rsid w:val="00123A90"/>
    <w:rsid w:val="00124EBB"/>
    <w:rsid w:val="00130462"/>
    <w:rsid w:val="00131471"/>
    <w:rsid w:val="001324D5"/>
    <w:rsid w:val="00133003"/>
    <w:rsid w:val="00136B70"/>
    <w:rsid w:val="00141C88"/>
    <w:rsid w:val="00144EA5"/>
    <w:rsid w:val="0014514F"/>
    <w:rsid w:val="00147E74"/>
    <w:rsid w:val="00154A4A"/>
    <w:rsid w:val="00155EE9"/>
    <w:rsid w:val="001565E3"/>
    <w:rsid w:val="001568E4"/>
    <w:rsid w:val="0016249A"/>
    <w:rsid w:val="0016489F"/>
    <w:rsid w:val="001657F4"/>
    <w:rsid w:val="00165C1A"/>
    <w:rsid w:val="00170624"/>
    <w:rsid w:val="00170B2D"/>
    <w:rsid w:val="00176349"/>
    <w:rsid w:val="00176AB4"/>
    <w:rsid w:val="00192DA2"/>
    <w:rsid w:val="00194CE2"/>
    <w:rsid w:val="001976CD"/>
    <w:rsid w:val="001A4D41"/>
    <w:rsid w:val="001A73CD"/>
    <w:rsid w:val="001A7D23"/>
    <w:rsid w:val="001B1A0D"/>
    <w:rsid w:val="001B2E69"/>
    <w:rsid w:val="001C0500"/>
    <w:rsid w:val="001C1CF4"/>
    <w:rsid w:val="001C572E"/>
    <w:rsid w:val="001D4301"/>
    <w:rsid w:val="001D7522"/>
    <w:rsid w:val="001E05D1"/>
    <w:rsid w:val="001E1334"/>
    <w:rsid w:val="001E303E"/>
    <w:rsid w:val="001E3125"/>
    <w:rsid w:val="001E4CA4"/>
    <w:rsid w:val="001E699D"/>
    <w:rsid w:val="001E7846"/>
    <w:rsid w:val="001E7BD3"/>
    <w:rsid w:val="001F2A49"/>
    <w:rsid w:val="001F4418"/>
    <w:rsid w:val="001F6148"/>
    <w:rsid w:val="001F61D7"/>
    <w:rsid w:val="001F7BFB"/>
    <w:rsid w:val="002009EE"/>
    <w:rsid w:val="002022B2"/>
    <w:rsid w:val="002027E2"/>
    <w:rsid w:val="00206D79"/>
    <w:rsid w:val="0021070E"/>
    <w:rsid w:val="00217494"/>
    <w:rsid w:val="00221998"/>
    <w:rsid w:val="00221CA6"/>
    <w:rsid w:val="00226304"/>
    <w:rsid w:val="00230DA4"/>
    <w:rsid w:val="002358DC"/>
    <w:rsid w:val="002400CF"/>
    <w:rsid w:val="00242DC6"/>
    <w:rsid w:val="00252606"/>
    <w:rsid w:val="0025419D"/>
    <w:rsid w:val="002619E3"/>
    <w:rsid w:val="00261C33"/>
    <w:rsid w:val="00270AA4"/>
    <w:rsid w:val="00271F5A"/>
    <w:rsid w:val="00273A75"/>
    <w:rsid w:val="0028593F"/>
    <w:rsid w:val="0028616E"/>
    <w:rsid w:val="00294073"/>
    <w:rsid w:val="00295821"/>
    <w:rsid w:val="00297C8F"/>
    <w:rsid w:val="002A04B8"/>
    <w:rsid w:val="002A1E29"/>
    <w:rsid w:val="002A4966"/>
    <w:rsid w:val="002A4BFF"/>
    <w:rsid w:val="002A63C9"/>
    <w:rsid w:val="002A6C4C"/>
    <w:rsid w:val="002B0648"/>
    <w:rsid w:val="002B72F3"/>
    <w:rsid w:val="002D0959"/>
    <w:rsid w:val="002D3614"/>
    <w:rsid w:val="002D45B3"/>
    <w:rsid w:val="002D7429"/>
    <w:rsid w:val="002D7C57"/>
    <w:rsid w:val="002E11A9"/>
    <w:rsid w:val="002E176E"/>
    <w:rsid w:val="002E1FAA"/>
    <w:rsid w:val="002E3E38"/>
    <w:rsid w:val="002E4748"/>
    <w:rsid w:val="002F14E0"/>
    <w:rsid w:val="002F4BB7"/>
    <w:rsid w:val="002F7D6F"/>
    <w:rsid w:val="002F7F86"/>
    <w:rsid w:val="003015AD"/>
    <w:rsid w:val="003030FF"/>
    <w:rsid w:val="003036E0"/>
    <w:rsid w:val="00303F8E"/>
    <w:rsid w:val="0030684E"/>
    <w:rsid w:val="00314F31"/>
    <w:rsid w:val="0032462A"/>
    <w:rsid w:val="00330A2E"/>
    <w:rsid w:val="003337D9"/>
    <w:rsid w:val="00333CB9"/>
    <w:rsid w:val="0034193F"/>
    <w:rsid w:val="003434E9"/>
    <w:rsid w:val="00343973"/>
    <w:rsid w:val="00343EAA"/>
    <w:rsid w:val="00351C0E"/>
    <w:rsid w:val="00361834"/>
    <w:rsid w:val="003658EA"/>
    <w:rsid w:val="003665E0"/>
    <w:rsid w:val="00367425"/>
    <w:rsid w:val="003738D1"/>
    <w:rsid w:val="00387200"/>
    <w:rsid w:val="003A1800"/>
    <w:rsid w:val="003A1B1B"/>
    <w:rsid w:val="003A2EAA"/>
    <w:rsid w:val="003A4C8D"/>
    <w:rsid w:val="003A6B05"/>
    <w:rsid w:val="003A7E0E"/>
    <w:rsid w:val="003B704E"/>
    <w:rsid w:val="003C4A18"/>
    <w:rsid w:val="003C534A"/>
    <w:rsid w:val="003C63D8"/>
    <w:rsid w:val="003C7DE7"/>
    <w:rsid w:val="003D48B1"/>
    <w:rsid w:val="003E2627"/>
    <w:rsid w:val="003E4E6D"/>
    <w:rsid w:val="003E564B"/>
    <w:rsid w:val="003E59FD"/>
    <w:rsid w:val="003E72EF"/>
    <w:rsid w:val="003F113E"/>
    <w:rsid w:val="003F6F3E"/>
    <w:rsid w:val="003F7E54"/>
    <w:rsid w:val="003F7E6F"/>
    <w:rsid w:val="00400B3C"/>
    <w:rsid w:val="00401494"/>
    <w:rsid w:val="00401AB0"/>
    <w:rsid w:val="00402030"/>
    <w:rsid w:val="004052F1"/>
    <w:rsid w:val="00405523"/>
    <w:rsid w:val="00410EA2"/>
    <w:rsid w:val="00412CE0"/>
    <w:rsid w:val="004135A3"/>
    <w:rsid w:val="004176E1"/>
    <w:rsid w:val="00420F16"/>
    <w:rsid w:val="004213BC"/>
    <w:rsid w:val="00421A87"/>
    <w:rsid w:val="00424634"/>
    <w:rsid w:val="0042585E"/>
    <w:rsid w:val="004300F1"/>
    <w:rsid w:val="00430797"/>
    <w:rsid w:val="00431EAF"/>
    <w:rsid w:val="00432362"/>
    <w:rsid w:val="00440550"/>
    <w:rsid w:val="00440E10"/>
    <w:rsid w:val="00444C3B"/>
    <w:rsid w:val="00447455"/>
    <w:rsid w:val="00452C6A"/>
    <w:rsid w:val="00454C81"/>
    <w:rsid w:val="004564C0"/>
    <w:rsid w:val="0045766A"/>
    <w:rsid w:val="00461B8A"/>
    <w:rsid w:val="00464128"/>
    <w:rsid w:val="00470D0B"/>
    <w:rsid w:val="004741EA"/>
    <w:rsid w:val="00477EFF"/>
    <w:rsid w:val="00482080"/>
    <w:rsid w:val="00490D2C"/>
    <w:rsid w:val="00495606"/>
    <w:rsid w:val="004A1217"/>
    <w:rsid w:val="004A562D"/>
    <w:rsid w:val="004B4407"/>
    <w:rsid w:val="004B7624"/>
    <w:rsid w:val="004C0295"/>
    <w:rsid w:val="004C1E5A"/>
    <w:rsid w:val="004C5BB7"/>
    <w:rsid w:val="004C6E0D"/>
    <w:rsid w:val="004D09DB"/>
    <w:rsid w:val="004D316A"/>
    <w:rsid w:val="004D63F7"/>
    <w:rsid w:val="004D646D"/>
    <w:rsid w:val="004D64FD"/>
    <w:rsid w:val="004E1FAA"/>
    <w:rsid w:val="004E2C0E"/>
    <w:rsid w:val="004E56D7"/>
    <w:rsid w:val="004E7EE0"/>
    <w:rsid w:val="004F2E5D"/>
    <w:rsid w:val="005055B8"/>
    <w:rsid w:val="005061ED"/>
    <w:rsid w:val="0051153C"/>
    <w:rsid w:val="00512447"/>
    <w:rsid w:val="00512908"/>
    <w:rsid w:val="0051391C"/>
    <w:rsid w:val="00514E0B"/>
    <w:rsid w:val="005154BA"/>
    <w:rsid w:val="0051799B"/>
    <w:rsid w:val="005330CE"/>
    <w:rsid w:val="0053436E"/>
    <w:rsid w:val="00535FF8"/>
    <w:rsid w:val="00540FC8"/>
    <w:rsid w:val="00541516"/>
    <w:rsid w:val="005426A5"/>
    <w:rsid w:val="0054640E"/>
    <w:rsid w:val="00551F26"/>
    <w:rsid w:val="005526A9"/>
    <w:rsid w:val="005554BF"/>
    <w:rsid w:val="0056104A"/>
    <w:rsid w:val="00563876"/>
    <w:rsid w:val="00563F59"/>
    <w:rsid w:val="00564C98"/>
    <w:rsid w:val="00570300"/>
    <w:rsid w:val="005717FB"/>
    <w:rsid w:val="00573573"/>
    <w:rsid w:val="00574262"/>
    <w:rsid w:val="0057724E"/>
    <w:rsid w:val="00577403"/>
    <w:rsid w:val="00580103"/>
    <w:rsid w:val="005815F4"/>
    <w:rsid w:val="00585687"/>
    <w:rsid w:val="005856BB"/>
    <w:rsid w:val="00587023"/>
    <w:rsid w:val="00587EA2"/>
    <w:rsid w:val="00596C50"/>
    <w:rsid w:val="005A0FBB"/>
    <w:rsid w:val="005A1769"/>
    <w:rsid w:val="005A2940"/>
    <w:rsid w:val="005A50EC"/>
    <w:rsid w:val="005A699B"/>
    <w:rsid w:val="005B0C87"/>
    <w:rsid w:val="005B1D6E"/>
    <w:rsid w:val="005B656F"/>
    <w:rsid w:val="005C15DA"/>
    <w:rsid w:val="005C7AFF"/>
    <w:rsid w:val="005D4BE8"/>
    <w:rsid w:val="005D6CF3"/>
    <w:rsid w:val="005E144A"/>
    <w:rsid w:val="005E1E5F"/>
    <w:rsid w:val="005E55E2"/>
    <w:rsid w:val="005F54D9"/>
    <w:rsid w:val="00605F58"/>
    <w:rsid w:val="006111FB"/>
    <w:rsid w:val="0061330E"/>
    <w:rsid w:val="00615049"/>
    <w:rsid w:val="0062022E"/>
    <w:rsid w:val="006234F5"/>
    <w:rsid w:val="00625069"/>
    <w:rsid w:val="00625174"/>
    <w:rsid w:val="00627218"/>
    <w:rsid w:val="006278A8"/>
    <w:rsid w:val="00631682"/>
    <w:rsid w:val="006338F6"/>
    <w:rsid w:val="00637BDF"/>
    <w:rsid w:val="00652742"/>
    <w:rsid w:val="006530EC"/>
    <w:rsid w:val="00654FD3"/>
    <w:rsid w:val="006579E6"/>
    <w:rsid w:val="00657A37"/>
    <w:rsid w:val="00682E6B"/>
    <w:rsid w:val="00685490"/>
    <w:rsid w:val="00685DD1"/>
    <w:rsid w:val="00686181"/>
    <w:rsid w:val="006874FB"/>
    <w:rsid w:val="006A02F9"/>
    <w:rsid w:val="006A5856"/>
    <w:rsid w:val="006A5E66"/>
    <w:rsid w:val="006B0874"/>
    <w:rsid w:val="006B3D9A"/>
    <w:rsid w:val="006B5A82"/>
    <w:rsid w:val="006C0459"/>
    <w:rsid w:val="006C17D1"/>
    <w:rsid w:val="006D3754"/>
    <w:rsid w:val="006D66A2"/>
    <w:rsid w:val="006E0D4F"/>
    <w:rsid w:val="006E199D"/>
    <w:rsid w:val="006E365D"/>
    <w:rsid w:val="006E3B9C"/>
    <w:rsid w:val="006E47D1"/>
    <w:rsid w:val="006F35C1"/>
    <w:rsid w:val="006F43A2"/>
    <w:rsid w:val="006F64DD"/>
    <w:rsid w:val="00701B29"/>
    <w:rsid w:val="007033FC"/>
    <w:rsid w:val="007057F3"/>
    <w:rsid w:val="00710786"/>
    <w:rsid w:val="00710CE4"/>
    <w:rsid w:val="00714D1B"/>
    <w:rsid w:val="00730149"/>
    <w:rsid w:val="00730E10"/>
    <w:rsid w:val="00737837"/>
    <w:rsid w:val="00741BF3"/>
    <w:rsid w:val="00745F44"/>
    <w:rsid w:val="007547FD"/>
    <w:rsid w:val="00755D6A"/>
    <w:rsid w:val="00756952"/>
    <w:rsid w:val="007578D6"/>
    <w:rsid w:val="007619D8"/>
    <w:rsid w:val="00761CEA"/>
    <w:rsid w:val="007620F1"/>
    <w:rsid w:val="0077070D"/>
    <w:rsid w:val="00771BD1"/>
    <w:rsid w:val="00772BA1"/>
    <w:rsid w:val="00773098"/>
    <w:rsid w:val="007750D0"/>
    <w:rsid w:val="007817C3"/>
    <w:rsid w:val="00782C31"/>
    <w:rsid w:val="00784981"/>
    <w:rsid w:val="007868A2"/>
    <w:rsid w:val="00786932"/>
    <w:rsid w:val="00787F55"/>
    <w:rsid w:val="0079662C"/>
    <w:rsid w:val="007A086E"/>
    <w:rsid w:val="007A0AB9"/>
    <w:rsid w:val="007A4292"/>
    <w:rsid w:val="007A7909"/>
    <w:rsid w:val="007B04D9"/>
    <w:rsid w:val="007B2F50"/>
    <w:rsid w:val="007B6D33"/>
    <w:rsid w:val="007B7B78"/>
    <w:rsid w:val="007C024E"/>
    <w:rsid w:val="007C1039"/>
    <w:rsid w:val="007C17BC"/>
    <w:rsid w:val="007C3672"/>
    <w:rsid w:val="007C6A20"/>
    <w:rsid w:val="007D33DA"/>
    <w:rsid w:val="007D7BC7"/>
    <w:rsid w:val="007E196F"/>
    <w:rsid w:val="007E3E80"/>
    <w:rsid w:val="007E44DB"/>
    <w:rsid w:val="007F1AD2"/>
    <w:rsid w:val="007F3FA8"/>
    <w:rsid w:val="007F7308"/>
    <w:rsid w:val="00802AC4"/>
    <w:rsid w:val="008056B2"/>
    <w:rsid w:val="00811332"/>
    <w:rsid w:val="00817377"/>
    <w:rsid w:val="00817843"/>
    <w:rsid w:val="00821111"/>
    <w:rsid w:val="00826A59"/>
    <w:rsid w:val="00832A27"/>
    <w:rsid w:val="0083788E"/>
    <w:rsid w:val="00840068"/>
    <w:rsid w:val="00840D95"/>
    <w:rsid w:val="0084129A"/>
    <w:rsid w:val="008417CF"/>
    <w:rsid w:val="00844AD4"/>
    <w:rsid w:val="00847ADB"/>
    <w:rsid w:val="00850D7F"/>
    <w:rsid w:val="00850F79"/>
    <w:rsid w:val="008543E8"/>
    <w:rsid w:val="00854527"/>
    <w:rsid w:val="0085501E"/>
    <w:rsid w:val="008616CB"/>
    <w:rsid w:val="008619F2"/>
    <w:rsid w:val="00863763"/>
    <w:rsid w:val="00864559"/>
    <w:rsid w:val="00864981"/>
    <w:rsid w:val="008650E8"/>
    <w:rsid w:val="00876B97"/>
    <w:rsid w:val="00876EB8"/>
    <w:rsid w:val="00880896"/>
    <w:rsid w:val="008813B3"/>
    <w:rsid w:val="00883DB4"/>
    <w:rsid w:val="00885A35"/>
    <w:rsid w:val="00886F06"/>
    <w:rsid w:val="00887192"/>
    <w:rsid w:val="00887B9D"/>
    <w:rsid w:val="00895A34"/>
    <w:rsid w:val="00896FC5"/>
    <w:rsid w:val="008A0E6F"/>
    <w:rsid w:val="008A137A"/>
    <w:rsid w:val="008A61C4"/>
    <w:rsid w:val="008B1047"/>
    <w:rsid w:val="008B2428"/>
    <w:rsid w:val="008B6E8A"/>
    <w:rsid w:val="008C09C6"/>
    <w:rsid w:val="008C09D3"/>
    <w:rsid w:val="008C0E5A"/>
    <w:rsid w:val="008C10A7"/>
    <w:rsid w:val="008C4788"/>
    <w:rsid w:val="008C48C9"/>
    <w:rsid w:val="008C569D"/>
    <w:rsid w:val="008C6890"/>
    <w:rsid w:val="008C7096"/>
    <w:rsid w:val="008D271A"/>
    <w:rsid w:val="008D325A"/>
    <w:rsid w:val="008D60B9"/>
    <w:rsid w:val="008D65D6"/>
    <w:rsid w:val="008E24DB"/>
    <w:rsid w:val="008E7039"/>
    <w:rsid w:val="008F03CD"/>
    <w:rsid w:val="008F401B"/>
    <w:rsid w:val="008F4650"/>
    <w:rsid w:val="008F6741"/>
    <w:rsid w:val="00900EA2"/>
    <w:rsid w:val="00901C1C"/>
    <w:rsid w:val="0091104C"/>
    <w:rsid w:val="009119A4"/>
    <w:rsid w:val="00913F4A"/>
    <w:rsid w:val="00916BD7"/>
    <w:rsid w:val="00920FE1"/>
    <w:rsid w:val="009241F4"/>
    <w:rsid w:val="00925713"/>
    <w:rsid w:val="009278A7"/>
    <w:rsid w:val="00927E82"/>
    <w:rsid w:val="00934198"/>
    <w:rsid w:val="009413BC"/>
    <w:rsid w:val="00944B9B"/>
    <w:rsid w:val="00950975"/>
    <w:rsid w:val="00956127"/>
    <w:rsid w:val="00960280"/>
    <w:rsid w:val="00963B70"/>
    <w:rsid w:val="00967345"/>
    <w:rsid w:val="009818F6"/>
    <w:rsid w:val="009837F9"/>
    <w:rsid w:val="009903C9"/>
    <w:rsid w:val="00991BE8"/>
    <w:rsid w:val="009938C6"/>
    <w:rsid w:val="00995F39"/>
    <w:rsid w:val="009A0AD1"/>
    <w:rsid w:val="009B3291"/>
    <w:rsid w:val="009B4FF5"/>
    <w:rsid w:val="009C1DFC"/>
    <w:rsid w:val="009C348D"/>
    <w:rsid w:val="009C3AE5"/>
    <w:rsid w:val="009C7440"/>
    <w:rsid w:val="009C7CB0"/>
    <w:rsid w:val="009D3BFB"/>
    <w:rsid w:val="009D460B"/>
    <w:rsid w:val="009D522A"/>
    <w:rsid w:val="009D568A"/>
    <w:rsid w:val="009D635D"/>
    <w:rsid w:val="009D6F37"/>
    <w:rsid w:val="009E0DAE"/>
    <w:rsid w:val="009E1B5F"/>
    <w:rsid w:val="009E4F00"/>
    <w:rsid w:val="009E5759"/>
    <w:rsid w:val="009E705D"/>
    <w:rsid w:val="009E7799"/>
    <w:rsid w:val="009F16CC"/>
    <w:rsid w:val="009F24B7"/>
    <w:rsid w:val="009F3FC0"/>
    <w:rsid w:val="009F440D"/>
    <w:rsid w:val="009F7C07"/>
    <w:rsid w:val="00A01D54"/>
    <w:rsid w:val="00A03367"/>
    <w:rsid w:val="00A06A06"/>
    <w:rsid w:val="00A109EF"/>
    <w:rsid w:val="00A147E0"/>
    <w:rsid w:val="00A20CDF"/>
    <w:rsid w:val="00A31BD6"/>
    <w:rsid w:val="00A3478E"/>
    <w:rsid w:val="00A35233"/>
    <w:rsid w:val="00A35BCC"/>
    <w:rsid w:val="00A3660C"/>
    <w:rsid w:val="00A373C1"/>
    <w:rsid w:val="00A379C1"/>
    <w:rsid w:val="00A41EBD"/>
    <w:rsid w:val="00A47D19"/>
    <w:rsid w:val="00A50BAA"/>
    <w:rsid w:val="00A562C7"/>
    <w:rsid w:val="00A5645A"/>
    <w:rsid w:val="00A572A0"/>
    <w:rsid w:val="00A61554"/>
    <w:rsid w:val="00A6752D"/>
    <w:rsid w:val="00A67CD7"/>
    <w:rsid w:val="00A70E22"/>
    <w:rsid w:val="00A71D9B"/>
    <w:rsid w:val="00A71EF4"/>
    <w:rsid w:val="00A72C18"/>
    <w:rsid w:val="00A73937"/>
    <w:rsid w:val="00A80D5B"/>
    <w:rsid w:val="00A822E1"/>
    <w:rsid w:val="00A856E8"/>
    <w:rsid w:val="00A9076F"/>
    <w:rsid w:val="00A932E7"/>
    <w:rsid w:val="00A94619"/>
    <w:rsid w:val="00A96BBE"/>
    <w:rsid w:val="00AA1690"/>
    <w:rsid w:val="00AA49F5"/>
    <w:rsid w:val="00AA5952"/>
    <w:rsid w:val="00AB04C0"/>
    <w:rsid w:val="00AB3213"/>
    <w:rsid w:val="00AB39DE"/>
    <w:rsid w:val="00AB7120"/>
    <w:rsid w:val="00AB7937"/>
    <w:rsid w:val="00AC069A"/>
    <w:rsid w:val="00AD51F4"/>
    <w:rsid w:val="00AD626B"/>
    <w:rsid w:val="00AD7863"/>
    <w:rsid w:val="00AD7882"/>
    <w:rsid w:val="00AE46C0"/>
    <w:rsid w:val="00AF0A4D"/>
    <w:rsid w:val="00AF30BE"/>
    <w:rsid w:val="00AF33CD"/>
    <w:rsid w:val="00B008AF"/>
    <w:rsid w:val="00B01D26"/>
    <w:rsid w:val="00B03410"/>
    <w:rsid w:val="00B038DD"/>
    <w:rsid w:val="00B15040"/>
    <w:rsid w:val="00B15C29"/>
    <w:rsid w:val="00B2420B"/>
    <w:rsid w:val="00B25104"/>
    <w:rsid w:val="00B25B75"/>
    <w:rsid w:val="00B30D7A"/>
    <w:rsid w:val="00B32400"/>
    <w:rsid w:val="00B32CB3"/>
    <w:rsid w:val="00B34BDD"/>
    <w:rsid w:val="00B36A2A"/>
    <w:rsid w:val="00B4180D"/>
    <w:rsid w:val="00B4401A"/>
    <w:rsid w:val="00B449DD"/>
    <w:rsid w:val="00B45829"/>
    <w:rsid w:val="00B4698A"/>
    <w:rsid w:val="00B54EF9"/>
    <w:rsid w:val="00B56BAB"/>
    <w:rsid w:val="00B57C0F"/>
    <w:rsid w:val="00B57C1B"/>
    <w:rsid w:val="00B601FB"/>
    <w:rsid w:val="00B60316"/>
    <w:rsid w:val="00B61783"/>
    <w:rsid w:val="00B70C27"/>
    <w:rsid w:val="00B73B98"/>
    <w:rsid w:val="00B75D51"/>
    <w:rsid w:val="00B75E1E"/>
    <w:rsid w:val="00B76FD4"/>
    <w:rsid w:val="00B835D4"/>
    <w:rsid w:val="00B86DD4"/>
    <w:rsid w:val="00B90A03"/>
    <w:rsid w:val="00B9276F"/>
    <w:rsid w:val="00B95E70"/>
    <w:rsid w:val="00BA0AFF"/>
    <w:rsid w:val="00BA5A51"/>
    <w:rsid w:val="00BA6149"/>
    <w:rsid w:val="00BB189D"/>
    <w:rsid w:val="00BB706D"/>
    <w:rsid w:val="00BC029D"/>
    <w:rsid w:val="00BC1C0C"/>
    <w:rsid w:val="00BE32DF"/>
    <w:rsid w:val="00BF5CF2"/>
    <w:rsid w:val="00C0167F"/>
    <w:rsid w:val="00C03101"/>
    <w:rsid w:val="00C05002"/>
    <w:rsid w:val="00C1042C"/>
    <w:rsid w:val="00C13420"/>
    <w:rsid w:val="00C220BF"/>
    <w:rsid w:val="00C24DA1"/>
    <w:rsid w:val="00C2644E"/>
    <w:rsid w:val="00C26514"/>
    <w:rsid w:val="00C27F5C"/>
    <w:rsid w:val="00C3174C"/>
    <w:rsid w:val="00C334A4"/>
    <w:rsid w:val="00C35944"/>
    <w:rsid w:val="00C37914"/>
    <w:rsid w:val="00C411D1"/>
    <w:rsid w:val="00C41B40"/>
    <w:rsid w:val="00C44E29"/>
    <w:rsid w:val="00C574C7"/>
    <w:rsid w:val="00C64458"/>
    <w:rsid w:val="00C6677B"/>
    <w:rsid w:val="00C6680B"/>
    <w:rsid w:val="00C678B3"/>
    <w:rsid w:val="00C70047"/>
    <w:rsid w:val="00C70A5B"/>
    <w:rsid w:val="00C72526"/>
    <w:rsid w:val="00C77B90"/>
    <w:rsid w:val="00C77F60"/>
    <w:rsid w:val="00C806C1"/>
    <w:rsid w:val="00C80A09"/>
    <w:rsid w:val="00C8457F"/>
    <w:rsid w:val="00C861A6"/>
    <w:rsid w:val="00C908C5"/>
    <w:rsid w:val="00C92322"/>
    <w:rsid w:val="00C94E3B"/>
    <w:rsid w:val="00CA45A4"/>
    <w:rsid w:val="00CA5A56"/>
    <w:rsid w:val="00CA5F5A"/>
    <w:rsid w:val="00CA6644"/>
    <w:rsid w:val="00CA6792"/>
    <w:rsid w:val="00CB2CA6"/>
    <w:rsid w:val="00CB2D26"/>
    <w:rsid w:val="00CB2D30"/>
    <w:rsid w:val="00CB35BA"/>
    <w:rsid w:val="00CB5F6F"/>
    <w:rsid w:val="00CC19DD"/>
    <w:rsid w:val="00CC2614"/>
    <w:rsid w:val="00CC5DF9"/>
    <w:rsid w:val="00CC6F52"/>
    <w:rsid w:val="00CC759C"/>
    <w:rsid w:val="00CD2756"/>
    <w:rsid w:val="00CE1554"/>
    <w:rsid w:val="00CE6662"/>
    <w:rsid w:val="00CF15FC"/>
    <w:rsid w:val="00CF4D37"/>
    <w:rsid w:val="00CF6821"/>
    <w:rsid w:val="00CF697F"/>
    <w:rsid w:val="00D00B3F"/>
    <w:rsid w:val="00D0196C"/>
    <w:rsid w:val="00D03DC0"/>
    <w:rsid w:val="00D04D3D"/>
    <w:rsid w:val="00D05CD4"/>
    <w:rsid w:val="00D151BC"/>
    <w:rsid w:val="00D25EE2"/>
    <w:rsid w:val="00D31B0C"/>
    <w:rsid w:val="00D32F97"/>
    <w:rsid w:val="00D33DDD"/>
    <w:rsid w:val="00D369C5"/>
    <w:rsid w:val="00D46789"/>
    <w:rsid w:val="00D546FC"/>
    <w:rsid w:val="00D55134"/>
    <w:rsid w:val="00D62B97"/>
    <w:rsid w:val="00D64578"/>
    <w:rsid w:val="00D66664"/>
    <w:rsid w:val="00D74283"/>
    <w:rsid w:val="00D779E1"/>
    <w:rsid w:val="00D806FE"/>
    <w:rsid w:val="00D82733"/>
    <w:rsid w:val="00D830DF"/>
    <w:rsid w:val="00D84117"/>
    <w:rsid w:val="00D91FEA"/>
    <w:rsid w:val="00D92452"/>
    <w:rsid w:val="00DA0FD5"/>
    <w:rsid w:val="00DA19EA"/>
    <w:rsid w:val="00DA661B"/>
    <w:rsid w:val="00DB17CA"/>
    <w:rsid w:val="00DB2EB2"/>
    <w:rsid w:val="00DB5C04"/>
    <w:rsid w:val="00DB73D0"/>
    <w:rsid w:val="00DB7A88"/>
    <w:rsid w:val="00DB7FEA"/>
    <w:rsid w:val="00DC1906"/>
    <w:rsid w:val="00DC37BE"/>
    <w:rsid w:val="00DD1A1C"/>
    <w:rsid w:val="00DD2854"/>
    <w:rsid w:val="00DE7F6D"/>
    <w:rsid w:val="00DF04DA"/>
    <w:rsid w:val="00DF343E"/>
    <w:rsid w:val="00DF43DB"/>
    <w:rsid w:val="00DF4AE0"/>
    <w:rsid w:val="00DF4FFC"/>
    <w:rsid w:val="00DF5A0F"/>
    <w:rsid w:val="00E0079F"/>
    <w:rsid w:val="00E00CBC"/>
    <w:rsid w:val="00E13826"/>
    <w:rsid w:val="00E20099"/>
    <w:rsid w:val="00E21F52"/>
    <w:rsid w:val="00E26939"/>
    <w:rsid w:val="00E33039"/>
    <w:rsid w:val="00E36A20"/>
    <w:rsid w:val="00E40DF5"/>
    <w:rsid w:val="00E4303E"/>
    <w:rsid w:val="00E45E52"/>
    <w:rsid w:val="00E46CB8"/>
    <w:rsid w:val="00E54C21"/>
    <w:rsid w:val="00E5798B"/>
    <w:rsid w:val="00E627D7"/>
    <w:rsid w:val="00E65913"/>
    <w:rsid w:val="00E66A46"/>
    <w:rsid w:val="00E66F73"/>
    <w:rsid w:val="00E67573"/>
    <w:rsid w:val="00E67701"/>
    <w:rsid w:val="00E710C5"/>
    <w:rsid w:val="00E727C0"/>
    <w:rsid w:val="00E74057"/>
    <w:rsid w:val="00E75E57"/>
    <w:rsid w:val="00E7740B"/>
    <w:rsid w:val="00E84C3A"/>
    <w:rsid w:val="00E85CF7"/>
    <w:rsid w:val="00E91387"/>
    <w:rsid w:val="00E927CD"/>
    <w:rsid w:val="00EA1393"/>
    <w:rsid w:val="00EA63D9"/>
    <w:rsid w:val="00EA7E17"/>
    <w:rsid w:val="00EB44C6"/>
    <w:rsid w:val="00EB46C6"/>
    <w:rsid w:val="00EB509A"/>
    <w:rsid w:val="00EB54F2"/>
    <w:rsid w:val="00EB7F30"/>
    <w:rsid w:val="00EC1693"/>
    <w:rsid w:val="00EC67DB"/>
    <w:rsid w:val="00ED044E"/>
    <w:rsid w:val="00ED3FEF"/>
    <w:rsid w:val="00ED7752"/>
    <w:rsid w:val="00EE2AC7"/>
    <w:rsid w:val="00EE54E4"/>
    <w:rsid w:val="00EE7FE7"/>
    <w:rsid w:val="00EF4BA1"/>
    <w:rsid w:val="00EF633C"/>
    <w:rsid w:val="00F00381"/>
    <w:rsid w:val="00F00589"/>
    <w:rsid w:val="00F018AA"/>
    <w:rsid w:val="00F04B3F"/>
    <w:rsid w:val="00F05C2A"/>
    <w:rsid w:val="00F17BF1"/>
    <w:rsid w:val="00F21075"/>
    <w:rsid w:val="00F25CAD"/>
    <w:rsid w:val="00F279A8"/>
    <w:rsid w:val="00F30E8F"/>
    <w:rsid w:val="00F340CB"/>
    <w:rsid w:val="00F36A08"/>
    <w:rsid w:val="00F42086"/>
    <w:rsid w:val="00F42600"/>
    <w:rsid w:val="00F42BF7"/>
    <w:rsid w:val="00F448AC"/>
    <w:rsid w:val="00F461DE"/>
    <w:rsid w:val="00F46E5B"/>
    <w:rsid w:val="00F47419"/>
    <w:rsid w:val="00F50298"/>
    <w:rsid w:val="00F505DD"/>
    <w:rsid w:val="00F5103A"/>
    <w:rsid w:val="00F544BF"/>
    <w:rsid w:val="00F614FF"/>
    <w:rsid w:val="00F634B8"/>
    <w:rsid w:val="00F6366F"/>
    <w:rsid w:val="00F65225"/>
    <w:rsid w:val="00F666B1"/>
    <w:rsid w:val="00F72D32"/>
    <w:rsid w:val="00F80F1D"/>
    <w:rsid w:val="00F81E4B"/>
    <w:rsid w:val="00F869D7"/>
    <w:rsid w:val="00F9258F"/>
    <w:rsid w:val="00FA0E49"/>
    <w:rsid w:val="00FA10B4"/>
    <w:rsid w:val="00FA636C"/>
    <w:rsid w:val="00FA6922"/>
    <w:rsid w:val="00FA77D7"/>
    <w:rsid w:val="00FB3015"/>
    <w:rsid w:val="00FB5028"/>
    <w:rsid w:val="00FB5CC5"/>
    <w:rsid w:val="00FB610B"/>
    <w:rsid w:val="00FB6E9D"/>
    <w:rsid w:val="00FC0510"/>
    <w:rsid w:val="00FC1F32"/>
    <w:rsid w:val="00FC2CB4"/>
    <w:rsid w:val="00FC6028"/>
    <w:rsid w:val="00FC66E4"/>
    <w:rsid w:val="00FD1E6F"/>
    <w:rsid w:val="00FE374F"/>
    <w:rsid w:val="00FE3C53"/>
    <w:rsid w:val="00FE795C"/>
    <w:rsid w:val="00FF0DB7"/>
    <w:rsid w:val="00FF3959"/>
    <w:rsid w:val="00FF72B0"/>
    <w:rsid w:val="013F0655"/>
    <w:rsid w:val="015A2A3C"/>
    <w:rsid w:val="018D081F"/>
    <w:rsid w:val="0D4025C3"/>
    <w:rsid w:val="0FD153D1"/>
    <w:rsid w:val="15C24C03"/>
    <w:rsid w:val="176B7CBA"/>
    <w:rsid w:val="1994577E"/>
    <w:rsid w:val="19C660AB"/>
    <w:rsid w:val="1EB21F4D"/>
    <w:rsid w:val="1F7E45F1"/>
    <w:rsid w:val="254C2484"/>
    <w:rsid w:val="291427B3"/>
    <w:rsid w:val="29B66FD4"/>
    <w:rsid w:val="2A540A5F"/>
    <w:rsid w:val="2BB2765D"/>
    <w:rsid w:val="2D9513E2"/>
    <w:rsid w:val="310531F0"/>
    <w:rsid w:val="33F77F22"/>
    <w:rsid w:val="362A4B59"/>
    <w:rsid w:val="368B1381"/>
    <w:rsid w:val="438D26F5"/>
    <w:rsid w:val="4B662DD2"/>
    <w:rsid w:val="576E3280"/>
    <w:rsid w:val="593D5A68"/>
    <w:rsid w:val="615C00E8"/>
    <w:rsid w:val="647865A1"/>
    <w:rsid w:val="66150CC5"/>
    <w:rsid w:val="68F66BF3"/>
    <w:rsid w:val="6BC600B5"/>
    <w:rsid w:val="734F3AD1"/>
    <w:rsid w:val="747A7573"/>
    <w:rsid w:val="75636BC7"/>
    <w:rsid w:val="76646A50"/>
    <w:rsid w:val="790429F6"/>
    <w:rsid w:val="7C6314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0"/>
    <w:rPr>
      <w:kern w:val="2"/>
      <w:sz w:val="18"/>
      <w:szCs w:val="18"/>
    </w:rPr>
  </w:style>
  <w:style w:type="character" w:customStyle="1" w:styleId="7">
    <w:name w:val="页脚 Char"/>
    <w:basedOn w:val="4"/>
    <w:link w:val="2"/>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9</Pages>
  <Words>646</Words>
  <Characters>3687</Characters>
  <Lines>30</Lines>
  <Paragraphs>8</Paragraphs>
  <TotalTime>1</TotalTime>
  <ScaleCrop>false</ScaleCrop>
  <LinksUpToDate>false</LinksUpToDate>
  <CharactersWithSpaces>4325</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2018-06-25T00:25:00Z</dcterms:created>
  <dc:creator>USER-</dc:creator>
  <cp:lastModifiedBy>Administrator</cp:lastModifiedBy>
  <dcterms:modified xsi:type="dcterms:W3CDTF">2019-02-01T08:13:39Z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