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　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588" w:tblpY="811"/>
        <w:tblOverlap w:val="never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4584"/>
        <w:gridCol w:w="4845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16" w:type="dxa"/>
            <w:tcBorders>
              <w:tl2br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乡镇（街道）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行 政 村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社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4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1．建筑不低于300平方米。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2．文体广场原则上不低于1000平方米。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1．建筑不低于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平方米。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2．文体广场原则上不低于1000平方米。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1．建筑不低于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平方米。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2．文体广场原则上不低于1000平方米。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设置</w:t>
            </w:r>
          </w:p>
        </w:tc>
        <w:tc>
          <w:tcPr>
            <w:tcW w:w="4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3．设有多功能厅、图书室、培训教室和共享工程活动室并配备相应设备，有室外活动场地。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3．室内设置图书阅览室、文化活动室、数字资源室、多功能教室等。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4．有一个简易戏台（长10米、宽5米、高0.8米），一个宣传栏，一套文化器材（含一套音响和部分乐器），一套广播器材，一套体育设施器材（含1个篮球场，2个乒乓球台，1套体育健身器材）。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3．室内设置图书阅览室、文化活动室、数字资源室、多功能教室等。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保障</w:t>
            </w:r>
          </w:p>
        </w:tc>
        <w:tc>
          <w:tcPr>
            <w:tcW w:w="4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4．在落实文化部、财政部规定的免费开放保障经费前提下，财政拨款的业务经费每年不少于2万元。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5．财政拨款的业务经费每年不少于0.3万元。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4．财政拨款的业务经费每年不少于0.3万元。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要求</w:t>
            </w:r>
          </w:p>
        </w:tc>
        <w:tc>
          <w:tcPr>
            <w:tcW w:w="4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5．每年举办综合性大型文体活动不少于1次，举办单项性文体活动不少于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6．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1"/>
                <w:szCs w:val="21"/>
              </w:rPr>
              <w:t>每年送文艺演出到每个乡（镇、办）不少于5场。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6．每年组织5次以上群众文体活动。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7．每年送文艺演出到每个行政村不少于1场。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5．每年组织5次以上群众文体活动。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6．每年送文艺演出到每个社区不少于1场。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队伍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建设</w:t>
            </w:r>
          </w:p>
        </w:tc>
        <w:tc>
          <w:tcPr>
            <w:tcW w:w="4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7．每个中心至少有2名编制，规模较大的可适当增加1至2名编制，工作人员应专门从事宣传文化工作，不得兼职。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8．文化专兼职人员参加集中培训时间每年不少于5天。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8．“两委”中确定1名兼职工作人员；政府购买公益文化岗位不少于1人。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9．文化专兼职人员参加集中培训时间每年不少于5天。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7．社区至少有1名专职工作人员负责社区宣传文化服务工作。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8．文化专兼职人员参加集中培训时间每年不少于5天。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安全</w:t>
            </w:r>
          </w:p>
        </w:tc>
        <w:tc>
          <w:tcPr>
            <w:tcW w:w="4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9．无重大安全和责任事故。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10．无重大安全和责任事故。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9．无重大安全和责任事故。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鹿邑县</w:t>
      </w:r>
      <w:r>
        <w:rPr>
          <w:rFonts w:hint="eastAsia" w:ascii="方正小标宋简体" w:eastAsia="方正小标宋简体"/>
          <w:bCs/>
          <w:sz w:val="44"/>
          <w:szCs w:val="44"/>
        </w:rPr>
        <w:t>基层综合性文化服务中心建设标准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  <w:outlineLvl w:val="9"/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6D44"/>
    <w:rsid w:val="059E6D44"/>
    <w:rsid w:val="176753C6"/>
    <w:rsid w:val="3B5A16B9"/>
    <w:rsid w:val="4B2C19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2018-04-13T09:02:00Z</dcterms:created>
  <dc:creator>Administrator</dc:creator>
  <cp:lastModifiedBy>风的思绪</cp:lastModifiedBy>
  <cp:lastPrinted>2018-07-03T02:10:15Z</cp:lastPrinted>
  <dcterms:modified xsi:type="dcterms:W3CDTF">2018-07-03T04:22:24Z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